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before="300" w:after="150" w:line="520" w:lineRule="exact"/>
        <w:ind w:left="150" w:right="150"/>
        <w:jc w:val="center"/>
        <w:outlineLvl w:val="4"/>
        <w:rPr>
          <w:rFonts w:ascii="宋体" w:hAnsi="宋体" w:eastAsia="宋体" w:cs="宋体"/>
          <w:b/>
          <w:bCs/>
          <w:sz w:val="36"/>
          <w:szCs w:val="36"/>
        </w:rPr>
      </w:pPr>
      <w:r>
        <w:rPr>
          <w:rFonts w:hint="eastAsia" w:ascii="宋体" w:hAnsi="宋体" w:eastAsia="宋体" w:cs="宋体"/>
          <w:b/>
          <w:bCs/>
          <w:sz w:val="36"/>
          <w:szCs w:val="36"/>
        </w:rPr>
        <w:t>2022年中国马术协会青少年</w:t>
      </w:r>
    </w:p>
    <w:p>
      <w:pPr>
        <w:widowControl/>
        <w:spacing w:before="300" w:after="150" w:line="520" w:lineRule="exact"/>
        <w:ind w:left="150" w:right="150"/>
        <w:jc w:val="center"/>
        <w:outlineLvl w:val="4"/>
        <w:rPr>
          <w:rFonts w:ascii="宋体" w:hAnsi="宋体" w:eastAsia="宋体" w:cs="宋体"/>
          <w:b/>
          <w:bCs/>
          <w:sz w:val="36"/>
          <w:szCs w:val="36"/>
        </w:rPr>
      </w:pPr>
      <w:r>
        <w:rPr>
          <w:rFonts w:hint="eastAsia" w:ascii="宋体" w:hAnsi="宋体" w:eastAsia="宋体" w:cs="宋体"/>
          <w:b/>
          <w:bCs/>
          <w:sz w:val="36"/>
          <w:szCs w:val="36"/>
        </w:rPr>
        <w:t>U系列赛（北京站）竞赛规程</w:t>
      </w:r>
    </w:p>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00" w:lineRule="exact"/>
        <w:jc w:val="left"/>
        <w:rPr>
          <w:rFonts w:ascii="仿宋" w:hAnsi="仿宋" w:eastAsia="仿宋" w:cs="仿宋"/>
          <w:kern w:val="0"/>
          <w:sz w:val="30"/>
          <w:szCs w:val="30"/>
        </w:rPr>
      </w:pPr>
    </w:p>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exact"/>
        <w:jc w:val="left"/>
        <w:rPr>
          <w:rFonts w:ascii="仿宋" w:hAnsi="仿宋" w:eastAsia="仿宋" w:cs="仿宋"/>
          <w:b/>
          <w:kern w:val="0"/>
          <w:sz w:val="30"/>
          <w:szCs w:val="30"/>
        </w:rPr>
      </w:pPr>
      <w:r>
        <w:rPr>
          <w:rFonts w:hint="eastAsia" w:ascii="仿宋" w:hAnsi="仿宋" w:eastAsia="仿宋" w:cs="仿宋"/>
          <w:b/>
          <w:kern w:val="0"/>
          <w:sz w:val="30"/>
          <w:szCs w:val="30"/>
        </w:rPr>
        <w:t>一、主办单位</w:t>
      </w:r>
    </w:p>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exact"/>
        <w:jc w:val="left"/>
        <w:rPr>
          <w:rFonts w:ascii="仿宋" w:hAnsi="仿宋" w:eastAsia="仿宋" w:cs="仿宋"/>
          <w:kern w:val="0"/>
          <w:sz w:val="30"/>
          <w:szCs w:val="30"/>
        </w:rPr>
      </w:pPr>
      <w:r>
        <w:rPr>
          <w:rFonts w:hint="eastAsia" w:ascii="仿宋" w:hAnsi="仿宋" w:eastAsia="仿宋" w:cs="仿宋"/>
          <w:kern w:val="0"/>
          <w:sz w:val="30"/>
          <w:szCs w:val="30"/>
        </w:rPr>
        <w:t xml:space="preserve">中国马术协会 </w:t>
      </w:r>
    </w:p>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exact"/>
        <w:jc w:val="left"/>
        <w:rPr>
          <w:rFonts w:ascii="仿宋" w:hAnsi="仿宋" w:eastAsia="仿宋" w:cs="仿宋"/>
          <w:kern w:val="0"/>
          <w:sz w:val="30"/>
          <w:szCs w:val="30"/>
        </w:rPr>
      </w:pPr>
    </w:p>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exact"/>
        <w:jc w:val="left"/>
        <w:rPr>
          <w:rFonts w:ascii="仿宋" w:hAnsi="仿宋" w:eastAsia="仿宋" w:cs="仿宋"/>
          <w:b/>
          <w:kern w:val="0"/>
          <w:sz w:val="30"/>
          <w:szCs w:val="30"/>
        </w:rPr>
      </w:pPr>
      <w:r>
        <w:rPr>
          <w:rFonts w:hint="eastAsia" w:ascii="仿宋" w:hAnsi="仿宋" w:eastAsia="仿宋" w:cs="仿宋"/>
          <w:b/>
          <w:kern w:val="0"/>
          <w:sz w:val="30"/>
          <w:szCs w:val="30"/>
        </w:rPr>
        <w:t xml:space="preserve">二、承办单位 </w:t>
      </w:r>
    </w:p>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exact"/>
        <w:jc w:val="left"/>
        <w:rPr>
          <w:rFonts w:ascii="仿宋" w:hAnsi="仿宋" w:eastAsia="仿宋" w:cs="宋体"/>
          <w:kern w:val="0"/>
          <w:sz w:val="30"/>
          <w:szCs w:val="30"/>
        </w:rPr>
      </w:pPr>
      <w:r>
        <w:rPr>
          <w:rFonts w:hint="eastAsia" w:ascii="仿宋" w:hAnsi="仿宋" w:eastAsia="仿宋" w:cs="宋体"/>
          <w:kern w:val="0"/>
          <w:sz w:val="30"/>
          <w:szCs w:val="30"/>
        </w:rPr>
        <w:t>北京天星调良国际马术俱乐部有限公司</w:t>
      </w:r>
    </w:p>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exact"/>
        <w:jc w:val="left"/>
        <w:rPr>
          <w:rFonts w:ascii="仿宋" w:hAnsi="仿宋" w:eastAsia="仿宋" w:cs="宋体"/>
          <w:kern w:val="0"/>
          <w:sz w:val="30"/>
          <w:szCs w:val="30"/>
        </w:rPr>
      </w:pPr>
    </w:p>
    <w:p>
      <w:pPr>
        <w:widowControl/>
        <w:numPr>
          <w:ilvl w:val="0"/>
          <w:numId w:val="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exact"/>
        <w:jc w:val="left"/>
        <w:rPr>
          <w:rFonts w:ascii="仿宋" w:hAnsi="仿宋" w:eastAsia="仿宋" w:cs="仿宋"/>
          <w:b/>
          <w:kern w:val="0"/>
          <w:sz w:val="30"/>
          <w:szCs w:val="30"/>
        </w:rPr>
      </w:pPr>
      <w:r>
        <w:rPr>
          <w:rFonts w:hint="eastAsia" w:ascii="仿宋" w:hAnsi="仿宋" w:eastAsia="仿宋" w:cs="仿宋"/>
          <w:b/>
          <w:kern w:val="0"/>
          <w:sz w:val="30"/>
          <w:szCs w:val="30"/>
        </w:rPr>
        <w:t xml:space="preserve">竞赛日期和地点 </w:t>
      </w:r>
    </w:p>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exact"/>
        <w:jc w:val="left"/>
        <w:rPr>
          <w:rFonts w:hint="eastAsia" w:ascii="仿宋" w:hAnsi="仿宋" w:eastAsia="仿宋"/>
          <w:sz w:val="32"/>
          <w:szCs w:val="32"/>
          <w:lang w:eastAsia="zh-CN"/>
        </w:rPr>
      </w:pPr>
      <w:r>
        <w:rPr>
          <w:rFonts w:hint="eastAsia" w:ascii="仿宋" w:hAnsi="仿宋" w:eastAsia="仿宋"/>
          <w:sz w:val="32"/>
          <w:szCs w:val="32"/>
        </w:rPr>
        <w:t>日期：2022年8月27日-8月28日</w:t>
      </w:r>
      <w:r>
        <w:rPr>
          <w:rFonts w:hint="eastAsia" w:ascii="仿宋" w:hAnsi="仿宋" w:eastAsia="仿宋"/>
          <w:sz w:val="32"/>
          <w:szCs w:val="32"/>
          <w:lang w:eastAsia="zh-CN"/>
        </w:rPr>
        <w:t>（</w:t>
      </w:r>
      <w:r>
        <w:rPr>
          <w:rFonts w:hint="eastAsia" w:ascii="仿宋" w:hAnsi="仿宋" w:eastAsia="仿宋"/>
          <w:sz w:val="32"/>
          <w:szCs w:val="32"/>
          <w:lang w:val="en-US" w:eastAsia="zh-CN"/>
        </w:rPr>
        <w:t>视报名人数调整</w:t>
      </w:r>
      <w:bookmarkStart w:id="1" w:name="_GoBack"/>
      <w:bookmarkEnd w:id="1"/>
      <w:r>
        <w:rPr>
          <w:rFonts w:hint="eastAsia" w:ascii="仿宋" w:hAnsi="仿宋" w:eastAsia="仿宋"/>
          <w:sz w:val="32"/>
          <w:szCs w:val="32"/>
          <w:lang w:eastAsia="zh-CN"/>
        </w:rPr>
        <w:t>）</w:t>
      </w:r>
    </w:p>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exact"/>
        <w:jc w:val="left"/>
        <w:rPr>
          <w:rFonts w:ascii="仿宋" w:hAnsi="仿宋" w:eastAsia="仿宋"/>
          <w:sz w:val="32"/>
          <w:szCs w:val="32"/>
        </w:rPr>
      </w:pPr>
      <w:r>
        <w:rPr>
          <w:rFonts w:hint="eastAsia" w:ascii="仿宋" w:hAnsi="仿宋" w:eastAsia="仿宋"/>
          <w:sz w:val="32"/>
          <w:szCs w:val="32"/>
        </w:rPr>
        <w:t>地点：北京天星调良国际马术俱乐部</w:t>
      </w:r>
    </w:p>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exact"/>
        <w:jc w:val="left"/>
        <w:rPr>
          <w:rFonts w:ascii="仿宋" w:hAnsi="仿宋" w:eastAsia="仿宋" w:cs="仿宋"/>
          <w:sz w:val="30"/>
          <w:szCs w:val="30"/>
        </w:rPr>
      </w:pPr>
    </w:p>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exact"/>
        <w:jc w:val="left"/>
        <w:rPr>
          <w:rFonts w:ascii="仿宋" w:hAnsi="仿宋" w:eastAsia="仿宋" w:cs="仿宋"/>
          <w:b/>
          <w:kern w:val="0"/>
          <w:sz w:val="30"/>
          <w:szCs w:val="30"/>
        </w:rPr>
      </w:pPr>
      <w:r>
        <w:rPr>
          <w:rFonts w:hint="eastAsia" w:ascii="仿宋" w:hAnsi="仿宋" w:eastAsia="仿宋" w:cs="仿宋"/>
          <w:b/>
          <w:kern w:val="0"/>
          <w:sz w:val="30"/>
          <w:szCs w:val="30"/>
        </w:rPr>
        <w:t>四、参赛人员</w:t>
      </w:r>
    </w:p>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exact"/>
        <w:jc w:val="left"/>
        <w:rPr>
          <w:rFonts w:ascii="仿宋" w:hAnsi="仿宋" w:eastAsia="仿宋" w:cs="仿宋"/>
          <w:kern w:val="0"/>
          <w:sz w:val="30"/>
          <w:szCs w:val="30"/>
        </w:rPr>
      </w:pPr>
      <w:r>
        <w:rPr>
          <w:rFonts w:hint="eastAsia" w:ascii="仿宋" w:hAnsi="仿宋" w:eastAsia="仿宋" w:cs="仿宋"/>
          <w:kern w:val="0"/>
          <w:sz w:val="30"/>
          <w:szCs w:val="30"/>
        </w:rPr>
        <w:t xml:space="preserve">2022年度中国马术协会注册团体会员、个人会员 </w:t>
      </w:r>
    </w:p>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exact"/>
        <w:jc w:val="left"/>
        <w:rPr>
          <w:rFonts w:ascii="仿宋" w:hAnsi="仿宋" w:eastAsia="仿宋" w:cs="仿宋"/>
          <w:kern w:val="0"/>
          <w:sz w:val="30"/>
          <w:szCs w:val="30"/>
        </w:rPr>
      </w:pPr>
    </w:p>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exact"/>
        <w:jc w:val="left"/>
        <w:rPr>
          <w:rFonts w:ascii="仿宋" w:hAnsi="仿宋" w:eastAsia="仿宋" w:cs="仿宋"/>
          <w:b/>
          <w:kern w:val="0"/>
          <w:sz w:val="30"/>
          <w:szCs w:val="30"/>
        </w:rPr>
      </w:pPr>
      <w:r>
        <w:rPr>
          <w:rFonts w:hint="eastAsia" w:ascii="仿宋" w:hAnsi="仿宋" w:eastAsia="仿宋" w:cs="仿宋"/>
          <w:b/>
          <w:kern w:val="0"/>
          <w:sz w:val="30"/>
          <w:szCs w:val="30"/>
        </w:rPr>
        <w:t>五、竞赛项目与组别</w:t>
      </w:r>
    </w:p>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exact"/>
        <w:jc w:val="left"/>
        <w:rPr>
          <w:rFonts w:ascii="仿宋" w:hAnsi="仿宋" w:eastAsia="仿宋" w:cs="仿宋"/>
          <w:kern w:val="0"/>
          <w:sz w:val="30"/>
          <w:szCs w:val="30"/>
        </w:rPr>
      </w:pPr>
      <w:r>
        <w:rPr>
          <w:rFonts w:hint="eastAsia" w:ascii="仿宋" w:hAnsi="仿宋" w:eastAsia="仿宋" w:cs="仿宋"/>
          <w:kern w:val="0"/>
          <w:sz w:val="30"/>
          <w:szCs w:val="30"/>
        </w:rPr>
        <w:t>（一）竞赛项目</w:t>
      </w:r>
    </w:p>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exact"/>
        <w:ind w:firstLine="300" w:firstLineChars="100"/>
        <w:jc w:val="left"/>
        <w:rPr>
          <w:rFonts w:ascii="仿宋" w:hAnsi="仿宋" w:eastAsia="仿宋" w:cs="仿宋"/>
          <w:kern w:val="0"/>
          <w:sz w:val="30"/>
          <w:szCs w:val="30"/>
        </w:rPr>
      </w:pPr>
      <w:r>
        <w:rPr>
          <w:rFonts w:hint="eastAsia" w:ascii="仿宋" w:hAnsi="仿宋" w:eastAsia="仿宋" w:cs="仿宋"/>
          <w:kern w:val="0"/>
          <w:sz w:val="30"/>
          <w:szCs w:val="30"/>
        </w:rPr>
        <w:t>1.场地障碍项目：90cm超越赛、60cm希望赛、30cm新星赛</w:t>
      </w:r>
    </w:p>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exact"/>
        <w:ind w:firstLine="300" w:firstLineChars="100"/>
        <w:jc w:val="left"/>
        <w:rPr>
          <w:rFonts w:ascii="仿宋" w:hAnsi="仿宋" w:eastAsia="仿宋" w:cs="仿宋"/>
          <w:kern w:val="0"/>
          <w:sz w:val="30"/>
          <w:szCs w:val="30"/>
        </w:rPr>
      </w:pPr>
      <w:r>
        <w:rPr>
          <w:rFonts w:hint="eastAsia" w:ascii="仿宋" w:hAnsi="仿宋" w:eastAsia="仿宋" w:cs="仿宋"/>
          <w:kern w:val="0"/>
          <w:sz w:val="30"/>
          <w:szCs w:val="30"/>
        </w:rPr>
        <w:t>2.盛装舞步项目：CEA初二级科目</w:t>
      </w:r>
    </w:p>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exact"/>
        <w:jc w:val="left"/>
        <w:rPr>
          <w:rFonts w:ascii="仿宋" w:hAnsi="仿宋" w:eastAsia="仿宋" w:cs="仿宋"/>
          <w:kern w:val="0"/>
          <w:sz w:val="30"/>
          <w:szCs w:val="30"/>
        </w:rPr>
      </w:pPr>
      <w:r>
        <w:rPr>
          <w:rFonts w:hint="eastAsia" w:ascii="仿宋" w:hAnsi="仿宋" w:eastAsia="仿宋" w:cs="仿宋"/>
          <w:kern w:val="0"/>
          <w:sz w:val="30"/>
          <w:szCs w:val="30"/>
        </w:rPr>
        <w:t>（二）参赛组别：</w:t>
      </w:r>
    </w:p>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exact"/>
        <w:ind w:firstLine="300" w:firstLineChars="100"/>
        <w:rPr>
          <w:rFonts w:ascii="仿宋" w:hAnsi="仿宋" w:eastAsia="仿宋" w:cs="仿宋"/>
          <w:kern w:val="0"/>
          <w:sz w:val="30"/>
          <w:szCs w:val="30"/>
        </w:rPr>
      </w:pPr>
      <w:r>
        <w:rPr>
          <w:rFonts w:hint="eastAsia" w:ascii="仿宋" w:hAnsi="仿宋" w:eastAsia="仿宋" w:cs="仿宋"/>
          <w:kern w:val="0"/>
          <w:sz w:val="30"/>
          <w:szCs w:val="30"/>
        </w:rPr>
        <w:t>1.7岁至18岁骑手（于2004年1月1日至2015年12月31日之间出生），均可报名场地障碍项目90cm、60cm、30cm级别以及盛装舞步项目比赛。</w:t>
      </w:r>
    </w:p>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exact"/>
        <w:ind w:firstLine="300" w:firstLineChars="100"/>
        <w:rPr>
          <w:rFonts w:ascii="仿宋" w:hAnsi="仿宋" w:eastAsia="仿宋" w:cs="仿宋"/>
          <w:kern w:val="0"/>
          <w:sz w:val="30"/>
          <w:szCs w:val="30"/>
        </w:rPr>
      </w:pPr>
      <w:r>
        <w:rPr>
          <w:rFonts w:hint="eastAsia" w:ascii="仿宋" w:hAnsi="仿宋" w:eastAsia="仿宋" w:cs="仿宋"/>
          <w:kern w:val="0"/>
          <w:sz w:val="30"/>
          <w:szCs w:val="30"/>
        </w:rPr>
        <w:t>2.根据每个竞赛项目成绩排名，按年龄段分别记取成绩。</w:t>
      </w:r>
    </w:p>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exact"/>
        <w:ind w:firstLine="600"/>
        <w:rPr>
          <w:rFonts w:ascii="仿宋" w:hAnsi="仿宋" w:eastAsia="仿宋" w:cs="仿宋"/>
          <w:kern w:val="0"/>
          <w:sz w:val="30"/>
          <w:szCs w:val="30"/>
        </w:rPr>
      </w:pPr>
      <w:r>
        <w:rPr>
          <w:rFonts w:hint="eastAsia" w:ascii="仿宋" w:hAnsi="仿宋" w:eastAsia="仿宋" w:cs="仿宋"/>
          <w:kern w:val="0"/>
          <w:sz w:val="30"/>
          <w:szCs w:val="30"/>
        </w:rPr>
        <w:t>U8年龄组，7岁至8岁骑手（于2014年1月1日年至2015年12月31日之间出生）。</w:t>
      </w:r>
    </w:p>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exact"/>
        <w:ind w:firstLine="600"/>
        <w:rPr>
          <w:rFonts w:ascii="仿宋" w:hAnsi="仿宋" w:eastAsia="仿宋" w:cs="仿宋"/>
          <w:kern w:val="0"/>
          <w:sz w:val="30"/>
          <w:szCs w:val="30"/>
        </w:rPr>
      </w:pPr>
      <w:r>
        <w:rPr>
          <w:rFonts w:hint="eastAsia" w:ascii="仿宋" w:hAnsi="仿宋" w:eastAsia="仿宋" w:cs="仿宋"/>
          <w:kern w:val="0"/>
          <w:sz w:val="30"/>
          <w:szCs w:val="30"/>
        </w:rPr>
        <w:t>U10年龄组，9岁至10岁骑手（于2012年1月1日至2013年12月31日之间出生）。</w:t>
      </w:r>
    </w:p>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exact"/>
        <w:ind w:firstLine="600"/>
        <w:rPr>
          <w:rFonts w:ascii="仿宋" w:hAnsi="仿宋" w:eastAsia="仿宋" w:cs="仿宋"/>
          <w:kern w:val="0"/>
          <w:sz w:val="30"/>
          <w:szCs w:val="30"/>
        </w:rPr>
      </w:pPr>
      <w:r>
        <w:rPr>
          <w:rFonts w:hint="eastAsia" w:ascii="仿宋" w:hAnsi="仿宋" w:eastAsia="仿宋" w:cs="仿宋"/>
          <w:kern w:val="0"/>
          <w:sz w:val="30"/>
          <w:szCs w:val="30"/>
        </w:rPr>
        <w:t>U12年龄组，11岁至12岁骑手（于2010年1月1日至2011年12月31日之间出生）。</w:t>
      </w:r>
    </w:p>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exact"/>
        <w:ind w:firstLine="600"/>
        <w:rPr>
          <w:rFonts w:ascii="仿宋" w:hAnsi="仿宋" w:eastAsia="仿宋" w:cs="仿宋"/>
          <w:kern w:val="0"/>
          <w:sz w:val="30"/>
          <w:szCs w:val="30"/>
        </w:rPr>
      </w:pPr>
      <w:r>
        <w:rPr>
          <w:rFonts w:hint="eastAsia" w:ascii="仿宋" w:hAnsi="仿宋" w:eastAsia="仿宋" w:cs="仿宋"/>
          <w:kern w:val="0"/>
          <w:sz w:val="30"/>
          <w:szCs w:val="30"/>
        </w:rPr>
        <w:t>U14年龄组，13岁至14岁骑手（于2008年1月1日至2009年12月31日之间出生）。</w:t>
      </w:r>
    </w:p>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exact"/>
        <w:ind w:firstLine="600"/>
        <w:rPr>
          <w:rFonts w:ascii="仿宋" w:hAnsi="仿宋" w:eastAsia="仿宋" w:cs="仿宋"/>
          <w:kern w:val="0"/>
          <w:sz w:val="30"/>
          <w:szCs w:val="30"/>
        </w:rPr>
      </w:pPr>
      <w:r>
        <w:rPr>
          <w:rFonts w:hint="eastAsia" w:ascii="仿宋" w:hAnsi="仿宋" w:eastAsia="仿宋" w:cs="仿宋"/>
          <w:kern w:val="0"/>
          <w:sz w:val="30"/>
          <w:szCs w:val="30"/>
        </w:rPr>
        <w:t>U16年龄组，15岁到16岁骑手（于2006年1月1日至2007年12月31日之间出生）</w:t>
      </w:r>
    </w:p>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exact"/>
        <w:ind w:firstLine="600"/>
        <w:rPr>
          <w:rFonts w:ascii="仿宋" w:hAnsi="仿宋" w:eastAsia="仿宋" w:cs="仿宋"/>
          <w:kern w:val="0"/>
          <w:sz w:val="30"/>
          <w:szCs w:val="30"/>
        </w:rPr>
      </w:pPr>
      <w:r>
        <w:rPr>
          <w:rFonts w:hint="eastAsia" w:ascii="仿宋" w:hAnsi="仿宋" w:eastAsia="仿宋" w:cs="仿宋"/>
          <w:kern w:val="0"/>
          <w:sz w:val="30"/>
          <w:szCs w:val="30"/>
        </w:rPr>
        <w:t>U18年龄组，17岁至18岁骑手（于2004年1月1日至2005年12月31日之间出生）。</w:t>
      </w:r>
    </w:p>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exact"/>
        <w:rPr>
          <w:rFonts w:ascii="仿宋" w:hAnsi="仿宋" w:eastAsia="仿宋" w:cs="仿宋"/>
          <w:kern w:val="0"/>
          <w:sz w:val="30"/>
          <w:szCs w:val="30"/>
        </w:rPr>
      </w:pPr>
      <w:bookmarkStart w:id="0" w:name="_Hlk4080269"/>
      <w:r>
        <w:rPr>
          <w:rFonts w:hint="eastAsia" w:ascii="仿宋" w:hAnsi="仿宋" w:eastAsia="仿宋" w:cs="仿宋"/>
          <w:kern w:val="0"/>
          <w:sz w:val="30"/>
          <w:szCs w:val="30"/>
        </w:rPr>
        <w:t>（三）马匹可以兼项，同一匹马可以参加不同组别的比赛，即可参加场地障碍赛，也可参加盛装舞步赛。同一匹马可由多名骑手骑乘参赛，但每个竞赛日总“出场点数”不能超过12点，马匹“出场点数”计算方式为：</w:t>
      </w:r>
    </w:p>
    <w:tbl>
      <w:tblPr>
        <w:tblStyle w:val="10"/>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58"/>
        <w:gridCol w:w="42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00" w:type="pct"/>
          </w:tcPr>
          <w:p>
            <w:pPr>
              <w:widowControl/>
              <w:spacing w:before="100" w:beforeAutospacing="1" w:after="100" w:afterAutospacing="1" w:line="480" w:lineRule="exact"/>
              <w:jc w:val="center"/>
              <w:rPr>
                <w:rFonts w:ascii="仿宋" w:hAnsi="仿宋" w:eastAsia="仿宋" w:cs="仿宋"/>
                <w:kern w:val="0"/>
                <w:sz w:val="30"/>
                <w:szCs w:val="30"/>
              </w:rPr>
            </w:pPr>
            <w:r>
              <w:rPr>
                <w:rFonts w:hint="eastAsia" w:ascii="仿宋" w:hAnsi="仿宋" w:eastAsia="仿宋" w:cs="仿宋"/>
                <w:kern w:val="0"/>
                <w:sz w:val="30"/>
                <w:szCs w:val="30"/>
              </w:rPr>
              <w:t>参赛组别</w:t>
            </w:r>
          </w:p>
        </w:tc>
        <w:tc>
          <w:tcPr>
            <w:tcW w:w="2500" w:type="pct"/>
          </w:tcPr>
          <w:p>
            <w:pPr>
              <w:widowControl/>
              <w:spacing w:before="100" w:beforeAutospacing="1" w:after="100" w:afterAutospacing="1" w:line="480" w:lineRule="exact"/>
              <w:jc w:val="center"/>
              <w:rPr>
                <w:rFonts w:ascii="仿宋" w:hAnsi="仿宋" w:eastAsia="仿宋" w:cs="仿宋"/>
                <w:kern w:val="0"/>
                <w:sz w:val="30"/>
                <w:szCs w:val="30"/>
              </w:rPr>
            </w:pPr>
            <w:r>
              <w:rPr>
                <w:rFonts w:hint="eastAsia" w:ascii="仿宋" w:hAnsi="仿宋" w:eastAsia="仿宋" w:cs="仿宋"/>
                <w:kern w:val="0"/>
                <w:sz w:val="30"/>
                <w:szCs w:val="30"/>
              </w:rPr>
              <w:t>出场点数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00" w:type="pct"/>
          </w:tcPr>
          <w:p>
            <w:pPr>
              <w:widowControl/>
              <w:spacing w:before="100" w:beforeAutospacing="1" w:after="100" w:afterAutospacing="1" w:line="480" w:lineRule="exact"/>
              <w:jc w:val="center"/>
              <w:rPr>
                <w:rFonts w:ascii="仿宋" w:hAnsi="仿宋" w:eastAsia="仿宋" w:cs="仿宋"/>
                <w:kern w:val="0"/>
                <w:sz w:val="30"/>
                <w:szCs w:val="30"/>
              </w:rPr>
            </w:pPr>
            <w:r>
              <w:rPr>
                <w:rFonts w:hint="eastAsia" w:ascii="仿宋" w:hAnsi="仿宋" w:eastAsia="仿宋" w:cs="仿宋"/>
                <w:kern w:val="0"/>
                <w:sz w:val="30"/>
                <w:szCs w:val="30"/>
              </w:rPr>
              <w:t>场地障碍90cm超越赛</w:t>
            </w:r>
          </w:p>
        </w:tc>
        <w:tc>
          <w:tcPr>
            <w:tcW w:w="2500" w:type="pct"/>
          </w:tcPr>
          <w:p>
            <w:pPr>
              <w:widowControl/>
              <w:spacing w:before="100" w:beforeAutospacing="1" w:after="100" w:afterAutospacing="1" w:line="480" w:lineRule="exact"/>
              <w:jc w:val="center"/>
              <w:rPr>
                <w:rFonts w:ascii="仿宋" w:hAnsi="仿宋" w:eastAsia="仿宋" w:cs="仿宋"/>
                <w:kern w:val="0"/>
                <w:sz w:val="30"/>
                <w:szCs w:val="30"/>
              </w:rPr>
            </w:pPr>
            <w:r>
              <w:rPr>
                <w:rFonts w:hint="eastAsia" w:ascii="仿宋" w:hAnsi="仿宋" w:eastAsia="仿宋" w:cs="仿宋"/>
                <w:kern w:val="0"/>
                <w:sz w:val="30"/>
                <w:szCs w:val="30"/>
              </w:rPr>
              <w:t>5点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00" w:type="pct"/>
          </w:tcPr>
          <w:p>
            <w:pPr>
              <w:widowControl/>
              <w:spacing w:before="100" w:beforeAutospacing="1" w:after="100" w:afterAutospacing="1" w:line="480" w:lineRule="exact"/>
              <w:jc w:val="center"/>
              <w:rPr>
                <w:rFonts w:ascii="仿宋" w:hAnsi="仿宋" w:eastAsia="仿宋" w:cs="仿宋"/>
                <w:kern w:val="0"/>
                <w:sz w:val="30"/>
                <w:szCs w:val="30"/>
              </w:rPr>
            </w:pPr>
            <w:r>
              <w:rPr>
                <w:rFonts w:hint="eastAsia" w:ascii="仿宋" w:hAnsi="仿宋" w:eastAsia="仿宋" w:cs="仿宋"/>
                <w:kern w:val="0"/>
                <w:sz w:val="30"/>
                <w:szCs w:val="30"/>
              </w:rPr>
              <w:t>场地障碍60cm希望赛</w:t>
            </w:r>
          </w:p>
        </w:tc>
        <w:tc>
          <w:tcPr>
            <w:tcW w:w="2500" w:type="pct"/>
          </w:tcPr>
          <w:p>
            <w:pPr>
              <w:widowControl/>
              <w:spacing w:before="100" w:beforeAutospacing="1" w:after="100" w:afterAutospacing="1" w:line="480" w:lineRule="exact"/>
              <w:jc w:val="center"/>
              <w:rPr>
                <w:rFonts w:ascii="仿宋" w:hAnsi="仿宋" w:eastAsia="仿宋" w:cs="仿宋"/>
                <w:kern w:val="0"/>
                <w:sz w:val="30"/>
                <w:szCs w:val="30"/>
              </w:rPr>
            </w:pPr>
            <w:r>
              <w:rPr>
                <w:rFonts w:hint="eastAsia" w:ascii="仿宋" w:hAnsi="仿宋" w:eastAsia="仿宋" w:cs="仿宋"/>
                <w:kern w:val="0"/>
                <w:sz w:val="30"/>
                <w:szCs w:val="30"/>
              </w:rPr>
              <w:t>3点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00" w:type="pct"/>
          </w:tcPr>
          <w:p>
            <w:pPr>
              <w:widowControl/>
              <w:spacing w:before="100" w:beforeAutospacing="1" w:after="100" w:afterAutospacing="1" w:line="480" w:lineRule="exact"/>
              <w:jc w:val="center"/>
              <w:rPr>
                <w:rFonts w:ascii="仿宋" w:hAnsi="仿宋" w:eastAsia="仿宋" w:cs="仿宋"/>
                <w:kern w:val="0"/>
                <w:sz w:val="30"/>
                <w:szCs w:val="30"/>
              </w:rPr>
            </w:pPr>
            <w:r>
              <w:rPr>
                <w:rFonts w:hint="eastAsia" w:ascii="仿宋" w:hAnsi="仿宋" w:eastAsia="仿宋" w:cs="仿宋"/>
                <w:kern w:val="0"/>
                <w:sz w:val="30"/>
                <w:szCs w:val="30"/>
              </w:rPr>
              <w:t>场地障碍30cm新星赛</w:t>
            </w:r>
          </w:p>
        </w:tc>
        <w:tc>
          <w:tcPr>
            <w:tcW w:w="2500" w:type="pct"/>
          </w:tcPr>
          <w:p>
            <w:pPr>
              <w:widowControl/>
              <w:spacing w:before="100" w:beforeAutospacing="1" w:after="100" w:afterAutospacing="1" w:line="480" w:lineRule="exact"/>
              <w:jc w:val="center"/>
              <w:rPr>
                <w:rFonts w:ascii="仿宋" w:hAnsi="仿宋" w:eastAsia="仿宋" w:cs="仿宋"/>
                <w:kern w:val="0"/>
                <w:sz w:val="30"/>
                <w:szCs w:val="30"/>
              </w:rPr>
            </w:pPr>
            <w:r>
              <w:rPr>
                <w:rFonts w:hint="eastAsia" w:ascii="仿宋" w:hAnsi="仿宋" w:eastAsia="仿宋" w:cs="仿宋"/>
                <w:kern w:val="0"/>
                <w:sz w:val="30"/>
                <w:szCs w:val="30"/>
              </w:rPr>
              <w:t>2点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00" w:type="pct"/>
          </w:tcPr>
          <w:p>
            <w:pPr>
              <w:widowControl/>
              <w:spacing w:before="100" w:beforeAutospacing="1" w:after="100" w:afterAutospacing="1" w:line="480" w:lineRule="exact"/>
              <w:jc w:val="center"/>
              <w:rPr>
                <w:rFonts w:ascii="仿宋" w:hAnsi="仿宋" w:eastAsia="仿宋" w:cs="仿宋"/>
                <w:kern w:val="0"/>
                <w:sz w:val="30"/>
                <w:szCs w:val="30"/>
              </w:rPr>
            </w:pPr>
            <w:r>
              <w:rPr>
                <w:rFonts w:hint="eastAsia" w:ascii="仿宋" w:hAnsi="仿宋" w:eastAsia="仿宋" w:cs="仿宋"/>
                <w:kern w:val="0"/>
                <w:sz w:val="30"/>
                <w:szCs w:val="30"/>
              </w:rPr>
              <w:t>盛装舞步</w:t>
            </w:r>
          </w:p>
        </w:tc>
        <w:tc>
          <w:tcPr>
            <w:tcW w:w="2500" w:type="pct"/>
          </w:tcPr>
          <w:p>
            <w:pPr>
              <w:widowControl/>
              <w:spacing w:before="100" w:beforeAutospacing="1" w:after="100" w:afterAutospacing="1" w:line="480" w:lineRule="exact"/>
              <w:jc w:val="center"/>
              <w:rPr>
                <w:rFonts w:ascii="仿宋" w:hAnsi="仿宋" w:eastAsia="仿宋" w:cs="仿宋"/>
                <w:kern w:val="0"/>
                <w:sz w:val="30"/>
                <w:szCs w:val="30"/>
              </w:rPr>
            </w:pPr>
            <w:r>
              <w:rPr>
                <w:rFonts w:hint="eastAsia" w:ascii="仿宋" w:hAnsi="仿宋" w:eastAsia="仿宋" w:cs="仿宋"/>
                <w:kern w:val="0"/>
                <w:sz w:val="30"/>
                <w:szCs w:val="30"/>
              </w:rPr>
              <w:t>2点</w:t>
            </w:r>
          </w:p>
        </w:tc>
      </w:tr>
    </w:tbl>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exact"/>
        <w:rPr>
          <w:rFonts w:ascii="仿宋" w:hAnsi="仿宋" w:eastAsia="仿宋" w:cs="仿宋"/>
          <w:kern w:val="0"/>
          <w:sz w:val="30"/>
          <w:szCs w:val="30"/>
        </w:rPr>
      </w:pPr>
      <w:r>
        <w:rPr>
          <w:rFonts w:hint="eastAsia" w:ascii="仿宋" w:hAnsi="仿宋" w:eastAsia="仿宋" w:cs="仿宋"/>
          <w:kern w:val="0"/>
          <w:sz w:val="30"/>
          <w:szCs w:val="30"/>
        </w:rPr>
        <w:t>举例：如同一马匹报名参加1场场地障碍90cm超越赛，3场场地障碍60cm希望赛（同一天内），则该马匹当天“出场点数”为14点（5+3+3+3），超过12点，不符合规定；如同一匹马报名参加4场场地障碍60cm超越赛（同一天内），则该马匹总出场点数为12点（3+3+3+3），少于或等于12点，符合规定。</w:t>
      </w:r>
    </w:p>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exact"/>
        <w:rPr>
          <w:rFonts w:ascii="仿宋" w:hAnsi="仿宋" w:eastAsia="仿宋" w:cs="仿宋"/>
          <w:kern w:val="0"/>
          <w:sz w:val="30"/>
          <w:szCs w:val="30"/>
        </w:rPr>
      </w:pPr>
      <w:r>
        <w:rPr>
          <w:rFonts w:hint="eastAsia" w:ascii="仿宋" w:hAnsi="仿宋" w:eastAsia="仿宋" w:cs="仿宋"/>
          <w:kern w:val="0"/>
          <w:sz w:val="30"/>
          <w:szCs w:val="30"/>
        </w:rPr>
        <w:t xml:space="preserve"> （四）如果裁判团发现比赛中（或正准备上场）的马匹过度疲劳，有权取消该马匹在同一天内的后续比赛，保证马匹福利。</w:t>
      </w:r>
    </w:p>
    <w:bookmarkEnd w:id="0"/>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exact"/>
        <w:rPr>
          <w:rFonts w:ascii="仿宋" w:hAnsi="仿宋" w:eastAsia="仿宋" w:cs="仿宋"/>
          <w:b/>
          <w:kern w:val="0"/>
          <w:sz w:val="30"/>
          <w:szCs w:val="30"/>
        </w:rPr>
      </w:pPr>
      <w:r>
        <w:rPr>
          <w:rFonts w:hint="eastAsia" w:ascii="仿宋" w:hAnsi="仿宋" w:eastAsia="仿宋" w:cs="仿宋"/>
          <w:b/>
          <w:kern w:val="0"/>
          <w:sz w:val="30"/>
          <w:szCs w:val="30"/>
        </w:rPr>
        <w:t>六、参赛资格</w:t>
      </w:r>
    </w:p>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exact"/>
        <w:rPr>
          <w:rFonts w:ascii="仿宋" w:hAnsi="仿宋" w:eastAsia="仿宋" w:cs="仿宋"/>
          <w:sz w:val="30"/>
          <w:szCs w:val="30"/>
        </w:rPr>
      </w:pPr>
      <w:r>
        <w:rPr>
          <w:rFonts w:hint="eastAsia" w:ascii="仿宋" w:hAnsi="仿宋" w:eastAsia="仿宋" w:cs="仿宋"/>
          <w:kern w:val="0"/>
          <w:sz w:val="30"/>
          <w:szCs w:val="30"/>
        </w:rPr>
        <w:t>（一）</w:t>
      </w:r>
      <w:r>
        <w:rPr>
          <w:rFonts w:hint="eastAsia" w:ascii="仿宋" w:hAnsi="仿宋" w:eastAsia="仿宋" w:cs="仿宋"/>
          <w:sz w:val="30"/>
          <w:szCs w:val="30"/>
        </w:rPr>
        <w:t>根据属地防疫要求,赛事期间所有工作人员及参赛单位所有人员均须执行“健康码”绿码准入制度，工作人员及参赛者还需提供48小时内（以报到日为准）的有效核酸检测阴性证明，同时配合赛事工作人员进行每日健康状态监测。</w:t>
      </w:r>
    </w:p>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exact"/>
        <w:rPr>
          <w:rFonts w:ascii="仿宋" w:hAnsi="仿宋" w:eastAsia="仿宋" w:cs="仿宋"/>
          <w:kern w:val="0"/>
          <w:sz w:val="30"/>
          <w:szCs w:val="30"/>
        </w:rPr>
      </w:pPr>
      <w:r>
        <w:rPr>
          <w:rFonts w:hint="eastAsia" w:ascii="仿宋" w:hAnsi="仿宋" w:eastAsia="仿宋" w:cs="仿宋"/>
          <w:kern w:val="0"/>
          <w:sz w:val="30"/>
          <w:szCs w:val="30"/>
        </w:rPr>
        <w:t>（二）参赛选手报名人数不限，每名选手最多可以报2匹马参加比赛，每名骑手均可报名所有小项的比赛。随队人员可报领队1人，教练1人，工作人员3人，马主人数不超过参赛马匹数。</w:t>
      </w:r>
    </w:p>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exact"/>
        <w:rPr>
          <w:rFonts w:ascii="仿宋" w:hAnsi="仿宋" w:eastAsia="仿宋" w:cs="仿宋"/>
          <w:kern w:val="0"/>
          <w:sz w:val="30"/>
          <w:szCs w:val="30"/>
        </w:rPr>
      </w:pPr>
      <w:r>
        <w:rPr>
          <w:rFonts w:hint="eastAsia" w:ascii="仿宋" w:hAnsi="仿宋" w:eastAsia="仿宋" w:cs="仿宋"/>
          <w:kern w:val="0"/>
          <w:sz w:val="30"/>
          <w:szCs w:val="30"/>
        </w:rPr>
        <w:t>（三）参赛选手须完成中国马术协会2022年度注册手续。</w:t>
      </w:r>
    </w:p>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exact"/>
        <w:rPr>
          <w:rFonts w:ascii="仿宋" w:hAnsi="仿宋" w:eastAsia="仿宋" w:cs="仿宋"/>
          <w:kern w:val="0"/>
          <w:sz w:val="30"/>
          <w:szCs w:val="30"/>
        </w:rPr>
      </w:pPr>
      <w:r>
        <w:rPr>
          <w:rFonts w:hint="eastAsia" w:ascii="仿宋" w:hAnsi="仿宋" w:eastAsia="仿宋" w:cs="仿宋"/>
          <w:kern w:val="0"/>
          <w:sz w:val="30"/>
          <w:szCs w:val="30"/>
        </w:rPr>
        <w:t>（四）参赛选手须拥有中国马术协会相应骑手等级，按照马术项目骑手分级规则手册的参赛级别规定报名参赛。各组别对应骑手等级如下：</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145"/>
        <w:gridCol w:w="41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45" w:type="dxa"/>
          </w:tcPr>
          <w:p>
            <w:pPr>
              <w:widowControl/>
              <w:spacing w:before="100" w:beforeAutospacing="1" w:after="100" w:afterAutospacing="1" w:line="480" w:lineRule="exact"/>
              <w:jc w:val="center"/>
              <w:rPr>
                <w:rFonts w:ascii="仿宋" w:hAnsi="仿宋" w:eastAsia="仿宋" w:cs="仿宋"/>
                <w:kern w:val="0"/>
                <w:sz w:val="30"/>
                <w:szCs w:val="30"/>
              </w:rPr>
            </w:pPr>
            <w:r>
              <w:rPr>
                <w:rFonts w:hint="eastAsia" w:ascii="仿宋" w:hAnsi="仿宋" w:eastAsia="仿宋" w:cs="仿宋"/>
                <w:kern w:val="0"/>
                <w:sz w:val="30"/>
                <w:szCs w:val="30"/>
              </w:rPr>
              <w:t>比赛组别</w:t>
            </w:r>
          </w:p>
        </w:tc>
        <w:tc>
          <w:tcPr>
            <w:tcW w:w="4145" w:type="dxa"/>
          </w:tcPr>
          <w:p>
            <w:pPr>
              <w:widowControl/>
              <w:spacing w:before="100" w:beforeAutospacing="1" w:after="100" w:afterAutospacing="1" w:line="480" w:lineRule="exact"/>
              <w:jc w:val="center"/>
              <w:rPr>
                <w:rFonts w:ascii="仿宋" w:hAnsi="仿宋" w:eastAsia="仿宋" w:cs="仿宋"/>
                <w:kern w:val="0"/>
                <w:sz w:val="30"/>
                <w:szCs w:val="30"/>
              </w:rPr>
            </w:pPr>
            <w:r>
              <w:rPr>
                <w:rFonts w:hint="eastAsia" w:ascii="仿宋" w:hAnsi="仿宋" w:eastAsia="仿宋" w:cs="仿宋"/>
                <w:kern w:val="0"/>
                <w:sz w:val="30"/>
                <w:szCs w:val="30"/>
              </w:rPr>
              <w:t>骑手等级要求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45" w:type="dxa"/>
          </w:tcPr>
          <w:p>
            <w:pPr>
              <w:widowControl/>
              <w:spacing w:before="100" w:beforeAutospacing="1" w:after="100" w:afterAutospacing="1" w:line="480" w:lineRule="exact"/>
              <w:jc w:val="center"/>
              <w:rPr>
                <w:rFonts w:ascii="仿宋" w:hAnsi="仿宋" w:eastAsia="仿宋" w:cs="仿宋"/>
                <w:kern w:val="0"/>
                <w:sz w:val="30"/>
                <w:szCs w:val="30"/>
              </w:rPr>
            </w:pPr>
            <w:r>
              <w:rPr>
                <w:rFonts w:hint="eastAsia" w:ascii="仿宋" w:hAnsi="仿宋" w:eastAsia="仿宋" w:cs="仿宋"/>
                <w:kern w:val="0"/>
                <w:sz w:val="30"/>
                <w:szCs w:val="30"/>
              </w:rPr>
              <w:t>场地障碍90cm超越赛</w:t>
            </w:r>
          </w:p>
        </w:tc>
        <w:tc>
          <w:tcPr>
            <w:tcW w:w="4145" w:type="dxa"/>
          </w:tcPr>
          <w:p>
            <w:pPr>
              <w:widowControl/>
              <w:spacing w:before="100" w:beforeAutospacing="1" w:after="100" w:afterAutospacing="1" w:line="480" w:lineRule="exact"/>
              <w:jc w:val="center"/>
              <w:rPr>
                <w:rFonts w:ascii="仿宋" w:hAnsi="仿宋" w:eastAsia="仿宋" w:cs="仿宋"/>
                <w:kern w:val="0"/>
                <w:sz w:val="30"/>
                <w:szCs w:val="30"/>
              </w:rPr>
            </w:pPr>
            <w:r>
              <w:rPr>
                <w:rFonts w:hint="eastAsia" w:ascii="仿宋" w:hAnsi="仿宋" w:eastAsia="仿宋" w:cs="仿宋"/>
                <w:kern w:val="0"/>
                <w:sz w:val="30"/>
                <w:szCs w:val="30"/>
              </w:rPr>
              <w:t>场地障碍中三级及以上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45" w:type="dxa"/>
          </w:tcPr>
          <w:p>
            <w:pPr>
              <w:widowControl/>
              <w:spacing w:before="100" w:beforeAutospacing="1" w:after="100" w:afterAutospacing="1" w:line="480" w:lineRule="exact"/>
              <w:jc w:val="center"/>
              <w:rPr>
                <w:rFonts w:ascii="仿宋" w:hAnsi="仿宋" w:eastAsia="仿宋" w:cs="仿宋"/>
                <w:kern w:val="0"/>
                <w:sz w:val="30"/>
                <w:szCs w:val="30"/>
              </w:rPr>
            </w:pPr>
            <w:r>
              <w:rPr>
                <w:rFonts w:hint="eastAsia" w:ascii="仿宋" w:hAnsi="仿宋" w:eastAsia="仿宋" w:cs="仿宋"/>
                <w:kern w:val="0"/>
                <w:sz w:val="30"/>
                <w:szCs w:val="30"/>
              </w:rPr>
              <w:t>场地障碍60cm希望赛</w:t>
            </w:r>
          </w:p>
        </w:tc>
        <w:tc>
          <w:tcPr>
            <w:tcW w:w="4145" w:type="dxa"/>
          </w:tcPr>
          <w:p>
            <w:pPr>
              <w:widowControl/>
              <w:spacing w:before="100" w:beforeAutospacing="1" w:after="100" w:afterAutospacing="1" w:line="480" w:lineRule="exact"/>
              <w:jc w:val="center"/>
              <w:rPr>
                <w:rFonts w:ascii="仿宋" w:hAnsi="仿宋" w:eastAsia="仿宋" w:cs="仿宋"/>
                <w:kern w:val="0"/>
                <w:sz w:val="30"/>
                <w:szCs w:val="30"/>
              </w:rPr>
            </w:pPr>
            <w:r>
              <w:rPr>
                <w:rFonts w:hint="eastAsia" w:ascii="仿宋" w:hAnsi="仿宋" w:eastAsia="仿宋" w:cs="仿宋"/>
                <w:kern w:val="0"/>
                <w:sz w:val="30"/>
                <w:szCs w:val="30"/>
              </w:rPr>
              <w:t>场地障碍初一级及以上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45" w:type="dxa"/>
          </w:tcPr>
          <w:p>
            <w:pPr>
              <w:widowControl/>
              <w:spacing w:before="100" w:beforeAutospacing="1" w:after="100" w:afterAutospacing="1" w:line="480" w:lineRule="exact"/>
              <w:jc w:val="center"/>
              <w:rPr>
                <w:rFonts w:ascii="仿宋" w:hAnsi="仿宋" w:eastAsia="仿宋" w:cs="仿宋"/>
                <w:kern w:val="0"/>
                <w:sz w:val="30"/>
                <w:szCs w:val="30"/>
              </w:rPr>
            </w:pPr>
            <w:r>
              <w:rPr>
                <w:rFonts w:hint="eastAsia" w:ascii="仿宋" w:hAnsi="仿宋" w:eastAsia="仿宋" w:cs="仿宋"/>
                <w:kern w:val="0"/>
                <w:sz w:val="30"/>
                <w:szCs w:val="30"/>
              </w:rPr>
              <w:t>场地障碍30cm新星赛</w:t>
            </w:r>
          </w:p>
        </w:tc>
        <w:tc>
          <w:tcPr>
            <w:tcW w:w="4145" w:type="dxa"/>
          </w:tcPr>
          <w:p>
            <w:pPr>
              <w:widowControl/>
              <w:spacing w:before="100" w:beforeAutospacing="1" w:after="100" w:afterAutospacing="1" w:line="480" w:lineRule="exact"/>
              <w:jc w:val="center"/>
              <w:rPr>
                <w:rFonts w:ascii="仿宋" w:hAnsi="仿宋" w:eastAsia="仿宋" w:cs="仿宋"/>
                <w:kern w:val="0"/>
                <w:sz w:val="30"/>
                <w:szCs w:val="30"/>
              </w:rPr>
            </w:pPr>
            <w:r>
              <w:rPr>
                <w:rFonts w:hint="eastAsia" w:ascii="仿宋" w:hAnsi="仿宋" w:eastAsia="仿宋" w:cs="仿宋"/>
                <w:kern w:val="0"/>
                <w:sz w:val="30"/>
                <w:szCs w:val="30"/>
              </w:rPr>
              <w:t>场地障碍初一级及以上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45" w:type="dxa"/>
          </w:tcPr>
          <w:p>
            <w:pPr>
              <w:widowControl/>
              <w:spacing w:before="100" w:beforeAutospacing="1" w:after="100" w:afterAutospacing="1" w:line="480" w:lineRule="exact"/>
              <w:jc w:val="center"/>
              <w:rPr>
                <w:rFonts w:ascii="仿宋" w:hAnsi="仿宋" w:eastAsia="仿宋" w:cs="仿宋"/>
                <w:kern w:val="0"/>
                <w:sz w:val="30"/>
                <w:szCs w:val="30"/>
              </w:rPr>
            </w:pPr>
            <w:r>
              <w:rPr>
                <w:rFonts w:hint="eastAsia" w:ascii="仿宋" w:hAnsi="仿宋" w:eastAsia="仿宋" w:cs="仿宋"/>
                <w:kern w:val="0"/>
                <w:sz w:val="30"/>
                <w:szCs w:val="30"/>
              </w:rPr>
              <w:t>盛装舞步赛</w:t>
            </w:r>
          </w:p>
        </w:tc>
        <w:tc>
          <w:tcPr>
            <w:tcW w:w="4145" w:type="dxa"/>
          </w:tcPr>
          <w:p>
            <w:pPr>
              <w:widowControl/>
              <w:spacing w:before="100" w:beforeAutospacing="1" w:after="100" w:afterAutospacing="1" w:line="480" w:lineRule="exact"/>
              <w:jc w:val="center"/>
              <w:rPr>
                <w:rFonts w:ascii="仿宋" w:hAnsi="仿宋" w:eastAsia="仿宋" w:cs="仿宋"/>
                <w:kern w:val="0"/>
                <w:sz w:val="30"/>
                <w:szCs w:val="30"/>
              </w:rPr>
            </w:pPr>
            <w:r>
              <w:rPr>
                <w:rFonts w:hint="eastAsia" w:ascii="仿宋" w:hAnsi="仿宋" w:eastAsia="仿宋" w:cs="仿宋"/>
                <w:kern w:val="0"/>
                <w:sz w:val="30"/>
                <w:szCs w:val="30"/>
              </w:rPr>
              <w:t>盛装舞步/障碍初三级及以上</w:t>
            </w:r>
          </w:p>
        </w:tc>
      </w:tr>
    </w:tbl>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exact"/>
        <w:rPr>
          <w:rFonts w:ascii="仿宋" w:hAnsi="仿宋" w:eastAsia="仿宋" w:cs="仿宋"/>
          <w:kern w:val="0"/>
          <w:sz w:val="30"/>
          <w:szCs w:val="30"/>
        </w:rPr>
      </w:pPr>
      <w:r>
        <w:rPr>
          <w:rFonts w:hint="eastAsia" w:ascii="仿宋" w:hAnsi="仿宋" w:eastAsia="仿宋" w:cs="仿宋"/>
          <w:kern w:val="0"/>
          <w:sz w:val="30"/>
          <w:szCs w:val="30"/>
        </w:rPr>
        <w:t>（五）各参赛选手自带马匹或租用承办单位马匹均可以参赛，马龄须达到7岁(2015年及以前出生)。参赛马匹须具有中国马术协会颁发的马匹护照，自带马匹要求到达赛区后及时向赛会兽医提交。参赛马匹在赛前按规则要求进行验马，未参加验马的马匹不得参加比赛。</w:t>
      </w:r>
    </w:p>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exact"/>
        <w:rPr>
          <w:rFonts w:ascii="仿宋" w:hAnsi="仿宋" w:eastAsia="仿宋" w:cs="仿宋"/>
          <w:kern w:val="0"/>
          <w:sz w:val="30"/>
          <w:szCs w:val="30"/>
        </w:rPr>
      </w:pPr>
      <w:r>
        <w:rPr>
          <w:rFonts w:hint="eastAsia" w:ascii="仿宋" w:hAnsi="仿宋" w:eastAsia="仿宋" w:cs="仿宋"/>
          <w:kern w:val="0"/>
          <w:sz w:val="30"/>
          <w:szCs w:val="30"/>
        </w:rPr>
        <w:t xml:space="preserve">（六）参赛马匹赴赛区前须办理相关检疫手续，并由所在地、 县级兽医站出具检疫合格证明，随马匹抵达赛区时递交承办单位。 </w:t>
      </w:r>
    </w:p>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exact"/>
        <w:rPr>
          <w:rFonts w:ascii="仿宋" w:hAnsi="仿宋" w:eastAsia="仿宋" w:cs="仿宋"/>
          <w:kern w:val="0"/>
          <w:sz w:val="30"/>
          <w:szCs w:val="30"/>
        </w:rPr>
      </w:pPr>
      <w:r>
        <w:rPr>
          <w:rFonts w:hint="eastAsia" w:ascii="仿宋" w:hAnsi="仿宋" w:eastAsia="仿宋" w:cs="仿宋"/>
          <w:kern w:val="0"/>
          <w:sz w:val="30"/>
          <w:szCs w:val="30"/>
        </w:rPr>
        <w:t>（七）参赛人马组合须严格按照比赛报名时的人马组合进行比赛，在比赛中参赛选手使用与报名时不同的马匹进行比赛，一经发现，取消该名选手参加该年度U系列赛事的资格。</w:t>
      </w:r>
    </w:p>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exact"/>
        <w:rPr>
          <w:rFonts w:ascii="仿宋" w:hAnsi="仿宋" w:eastAsia="仿宋" w:cs="仿宋"/>
          <w:kern w:val="0"/>
          <w:sz w:val="30"/>
          <w:szCs w:val="30"/>
        </w:rPr>
      </w:pPr>
    </w:p>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exact"/>
        <w:rPr>
          <w:rFonts w:ascii="仿宋" w:hAnsi="仿宋" w:eastAsia="仿宋" w:cs="仿宋"/>
          <w:b/>
          <w:kern w:val="0"/>
          <w:sz w:val="30"/>
          <w:szCs w:val="30"/>
        </w:rPr>
      </w:pPr>
      <w:r>
        <w:rPr>
          <w:rFonts w:hint="eastAsia" w:ascii="仿宋" w:hAnsi="仿宋" w:eastAsia="仿宋" w:cs="仿宋"/>
          <w:b/>
          <w:kern w:val="0"/>
          <w:sz w:val="30"/>
          <w:szCs w:val="30"/>
        </w:rPr>
        <w:t>七、竞赛办法</w:t>
      </w:r>
    </w:p>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exact"/>
        <w:rPr>
          <w:rFonts w:ascii="仿宋" w:hAnsi="仿宋" w:eastAsia="仿宋" w:cs="仿宋"/>
          <w:kern w:val="0"/>
          <w:sz w:val="30"/>
          <w:szCs w:val="30"/>
        </w:rPr>
      </w:pPr>
      <w:r>
        <w:rPr>
          <w:rFonts w:hint="eastAsia" w:ascii="仿宋" w:hAnsi="仿宋" w:eastAsia="仿宋" w:cs="仿宋"/>
          <w:kern w:val="0"/>
          <w:sz w:val="30"/>
          <w:szCs w:val="30"/>
        </w:rPr>
        <w:t>（一）比赛分两天进行，第一天为场地障碍赛，第二天为盛装舞步赛（详细日程待报名结束后确定）。</w:t>
      </w:r>
    </w:p>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exact"/>
        <w:rPr>
          <w:rFonts w:ascii="仿宋" w:hAnsi="仿宋" w:eastAsia="仿宋" w:cs="仿宋"/>
          <w:kern w:val="0"/>
          <w:sz w:val="30"/>
          <w:szCs w:val="30"/>
        </w:rPr>
      </w:pPr>
      <w:r>
        <w:rPr>
          <w:rFonts w:hint="eastAsia" w:ascii="仿宋" w:hAnsi="仿宋" w:eastAsia="仿宋" w:cs="仿宋"/>
          <w:kern w:val="0"/>
          <w:sz w:val="30"/>
          <w:szCs w:val="30"/>
        </w:rPr>
        <w:t xml:space="preserve">（二）比赛采用国际马联颁布的第 27 版国际马联场地障碍竞赛规则与第25版国际马联盛装舞步竞赛规则。特殊修订条款的执行，以中国马术协会下发通知为准。 </w:t>
      </w:r>
    </w:p>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exact"/>
        <w:rPr>
          <w:rFonts w:ascii="仿宋" w:hAnsi="仿宋" w:eastAsia="仿宋" w:cs="仿宋"/>
          <w:kern w:val="0"/>
          <w:sz w:val="30"/>
          <w:szCs w:val="30"/>
        </w:rPr>
      </w:pPr>
      <w:r>
        <w:rPr>
          <w:rFonts w:hint="eastAsia" w:ascii="仿宋" w:hAnsi="仿宋" w:eastAsia="仿宋" w:cs="仿宋"/>
          <w:kern w:val="0"/>
          <w:sz w:val="30"/>
          <w:szCs w:val="30"/>
        </w:rPr>
        <w:t>（三）场地障碍90cm超越赛为两轮赛。第一轮出场顺序按赛前抽签决定，第二轮出场顺序与第一轮出场顺序相同。第一轮障碍数量共10-12道，第二轮障碍数量</w:t>
      </w:r>
      <w:r>
        <w:rPr>
          <w:rFonts w:ascii="仿宋" w:hAnsi="仿宋" w:eastAsia="仿宋" w:cs="仿宋"/>
          <w:color w:val="000000" w:themeColor="text1"/>
          <w:kern w:val="0"/>
          <w:sz w:val="30"/>
          <w:szCs w:val="30"/>
          <w14:textFill>
            <w14:solidFill>
              <w14:schemeClr w14:val="tx1"/>
            </w14:solidFill>
          </w14:textFill>
        </w:rPr>
        <w:t>8-10</w:t>
      </w:r>
      <w:r>
        <w:rPr>
          <w:rFonts w:hint="eastAsia" w:ascii="仿宋" w:hAnsi="仿宋" w:eastAsia="仿宋" w:cs="仿宋"/>
          <w:kern w:val="0"/>
          <w:sz w:val="30"/>
          <w:szCs w:val="30"/>
        </w:rPr>
        <w:t xml:space="preserve">道，行进速度每分钟325米。根据国际马联竞赛规则处罚 A 表进行评判。比赛第一轮不争取时间，第二轮争取时间，以两轮罚分之和排列名次。若成绩出现罚分相同，则以第二轮比赛用时少者名次列前。 </w:t>
      </w:r>
    </w:p>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exact"/>
        <w:rPr>
          <w:rFonts w:ascii="仿宋" w:hAnsi="仿宋" w:eastAsia="仿宋" w:cs="仿宋"/>
          <w:kern w:val="0"/>
          <w:sz w:val="30"/>
          <w:szCs w:val="30"/>
        </w:rPr>
      </w:pPr>
      <w:r>
        <w:rPr>
          <w:rFonts w:hint="eastAsia" w:ascii="仿宋" w:hAnsi="仿宋" w:eastAsia="仿宋" w:cs="仿宋"/>
          <w:kern w:val="0"/>
          <w:sz w:val="30"/>
          <w:szCs w:val="30"/>
        </w:rPr>
        <w:t>（四）场地障碍60cm希望赛为两轮赛。第一轮出场顺序按赛前抽签决定，第二轮出场顺序与第一轮出场顺序相同。</w:t>
      </w:r>
      <w:r>
        <w:rPr>
          <w:rFonts w:hint="eastAsia" w:ascii="仿宋" w:hAnsi="仿宋" w:eastAsia="仿宋" w:cs="仿宋"/>
          <w:color w:val="000000" w:themeColor="text1"/>
          <w:kern w:val="0"/>
          <w:sz w:val="30"/>
          <w:szCs w:val="30"/>
          <w14:textFill>
            <w14:solidFill>
              <w14:schemeClr w14:val="tx1"/>
            </w14:solidFill>
          </w14:textFill>
        </w:rPr>
        <w:t>障碍高度为</w:t>
      </w:r>
      <w:r>
        <w:rPr>
          <w:rFonts w:ascii="仿宋" w:hAnsi="仿宋" w:eastAsia="仿宋" w:cs="仿宋"/>
          <w:color w:val="000000" w:themeColor="text1"/>
          <w:kern w:val="0"/>
          <w:sz w:val="30"/>
          <w:szCs w:val="30"/>
          <w14:textFill>
            <w14:solidFill>
              <w14:schemeClr w14:val="tx1"/>
            </w14:solidFill>
          </w14:textFill>
        </w:rPr>
        <w:t>60</w:t>
      </w:r>
      <w:r>
        <w:rPr>
          <w:rFonts w:hint="eastAsia" w:ascii="仿宋" w:hAnsi="仿宋" w:eastAsia="仿宋" w:cs="仿宋"/>
          <w:color w:val="000000" w:themeColor="text1"/>
          <w:kern w:val="0"/>
          <w:sz w:val="30"/>
          <w:szCs w:val="30"/>
          <w14:textFill>
            <w14:solidFill>
              <w14:schemeClr w14:val="tx1"/>
            </w14:solidFill>
          </w14:textFill>
        </w:rPr>
        <w:t>cm，两轮路线相同，</w:t>
      </w:r>
      <w:r>
        <w:rPr>
          <w:rFonts w:hint="eastAsia" w:ascii="仿宋" w:hAnsi="仿宋" w:eastAsia="仿宋" w:cs="仿宋"/>
          <w:kern w:val="0"/>
          <w:sz w:val="30"/>
          <w:szCs w:val="30"/>
        </w:rPr>
        <w:t>障碍数量共10-12道，行进速度每分钟325米。根据国际马联竞赛规则处罚A表进行评判，以两轮罚分之和排列名次。若成绩出现两轮总罚分相同，则以第二轮比赛用时接近允许时间者名次列前</w:t>
      </w:r>
      <w:r>
        <w:rPr>
          <w:rFonts w:hint="eastAsia" w:ascii="仿宋" w:hAnsi="仿宋" w:eastAsia="仿宋" w:cs="仿宋"/>
          <w:color w:val="000000" w:themeColor="text1"/>
          <w:kern w:val="0"/>
          <w:sz w:val="30"/>
          <w:szCs w:val="30"/>
          <w14:textFill>
            <w14:solidFill>
              <w14:schemeClr w14:val="tx1"/>
            </w14:solidFill>
          </w14:textFill>
        </w:rPr>
        <w:t>（单边贴时赛）</w:t>
      </w:r>
      <w:r>
        <w:rPr>
          <w:rFonts w:hint="eastAsia" w:ascii="仿宋" w:hAnsi="仿宋" w:eastAsia="仿宋" w:cs="仿宋"/>
          <w:kern w:val="0"/>
          <w:sz w:val="30"/>
          <w:szCs w:val="30"/>
        </w:rPr>
        <w:t>，超过允许时间产生罚分。比赛设立限制时间，限制时间为允许时间的两倍，超出限制时间的骑手将被淘汰。</w:t>
      </w:r>
    </w:p>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exact"/>
        <w:rPr>
          <w:rFonts w:ascii="仿宋" w:hAnsi="仿宋" w:eastAsia="仿宋" w:cs="仿宋"/>
          <w:kern w:val="0"/>
          <w:sz w:val="30"/>
          <w:szCs w:val="30"/>
        </w:rPr>
      </w:pPr>
      <w:r>
        <w:rPr>
          <w:rFonts w:hint="eastAsia" w:ascii="仿宋" w:hAnsi="仿宋" w:eastAsia="仿宋" w:cs="仿宋"/>
          <w:kern w:val="0"/>
          <w:sz w:val="30"/>
          <w:szCs w:val="30"/>
        </w:rPr>
        <w:t>（五）场地障碍30cm新星赛为两轮赛。第一轮出场顺序按赛前抽签决定，第二轮出场顺序与第一轮出场顺序相同。障碍高度为30cm，</w:t>
      </w:r>
      <w:r>
        <w:rPr>
          <w:rFonts w:hint="eastAsia" w:ascii="仿宋" w:hAnsi="仿宋" w:eastAsia="仿宋" w:cs="仿宋"/>
          <w:color w:val="000000" w:themeColor="text1"/>
          <w:kern w:val="0"/>
          <w:sz w:val="30"/>
          <w:szCs w:val="30"/>
          <w14:textFill>
            <w14:solidFill>
              <w14:schemeClr w14:val="tx1"/>
            </w14:solidFill>
          </w14:textFill>
        </w:rPr>
        <w:t>两轮路线相同，</w:t>
      </w:r>
      <w:r>
        <w:rPr>
          <w:rFonts w:hint="eastAsia" w:ascii="仿宋" w:hAnsi="仿宋" w:eastAsia="仿宋" w:cs="仿宋"/>
          <w:kern w:val="0"/>
          <w:sz w:val="30"/>
          <w:szCs w:val="30"/>
        </w:rPr>
        <w:t>障碍数量共8-10道，行进速度每分钟300米。根据国际马联竞赛规则处罚A表进行评判，以两轮罚分之和排列名次。若成绩出现两轮总罚分相同，则以第二轮比赛用时接近允许时间者名次列前</w:t>
      </w:r>
      <w:r>
        <w:rPr>
          <w:rFonts w:hint="eastAsia" w:ascii="仿宋" w:hAnsi="仿宋" w:eastAsia="仿宋" w:cs="仿宋"/>
          <w:color w:val="000000" w:themeColor="text1"/>
          <w:kern w:val="0"/>
          <w:sz w:val="30"/>
          <w:szCs w:val="30"/>
          <w14:textFill>
            <w14:solidFill>
              <w14:schemeClr w14:val="tx1"/>
            </w14:solidFill>
          </w14:textFill>
        </w:rPr>
        <w:t>（单边贴时赛）</w:t>
      </w:r>
      <w:r>
        <w:rPr>
          <w:rFonts w:hint="eastAsia" w:ascii="仿宋" w:hAnsi="仿宋" w:eastAsia="仿宋" w:cs="仿宋"/>
          <w:kern w:val="0"/>
          <w:sz w:val="30"/>
          <w:szCs w:val="30"/>
        </w:rPr>
        <w:t>，超过允许时间产生罚分。比赛设立限制时间，限制时间为允许时间的两倍，超出限制时间的骑手将被淘汰。</w:t>
      </w:r>
    </w:p>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exact"/>
        <w:rPr>
          <w:rFonts w:ascii="仿宋" w:hAnsi="仿宋" w:eastAsia="仿宋" w:cs="仿宋"/>
          <w:kern w:val="0"/>
          <w:sz w:val="30"/>
          <w:szCs w:val="30"/>
        </w:rPr>
      </w:pPr>
      <w:r>
        <w:rPr>
          <w:rFonts w:hint="eastAsia" w:ascii="仿宋" w:hAnsi="仿宋" w:eastAsia="仿宋" w:cs="仿宋"/>
          <w:kern w:val="0"/>
          <w:sz w:val="30"/>
          <w:szCs w:val="30"/>
        </w:rPr>
        <w:t>（六）盛装舞步比赛为一轮赛，出场顺序按赛前抽签决定。比赛科目为中马协骑手分级考核初二级科目，以百分比得分高者名次列前，如有并列，综合分总分高者名次列前。</w:t>
      </w:r>
    </w:p>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exact"/>
        <w:rPr>
          <w:rFonts w:ascii="仿宋" w:hAnsi="仿宋" w:eastAsia="仿宋" w:cs="仿宋"/>
          <w:kern w:val="0"/>
          <w:sz w:val="30"/>
          <w:szCs w:val="30"/>
        </w:rPr>
      </w:pPr>
      <w:r>
        <w:rPr>
          <w:rFonts w:hint="eastAsia" w:ascii="仿宋" w:hAnsi="仿宋" w:eastAsia="仿宋" w:cs="仿宋"/>
          <w:kern w:val="0"/>
          <w:sz w:val="30"/>
          <w:szCs w:val="30"/>
        </w:rPr>
        <w:t>（七）比赛设置“两项全能”奖项，参加场地障碍90cm超越赛与盛装舞步比赛的同一对人马组合，可参与“两项全能”成绩排名。根据骑手所获两项成绩的总罚分，由低到高进行排名，两项成绩总罚分少者名次列前。如成绩出现两项总罚分相同者，则以盛装舞步排名高者名次列前。</w:t>
      </w:r>
    </w:p>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exact"/>
        <w:rPr>
          <w:rFonts w:ascii="仿宋" w:hAnsi="仿宋" w:eastAsia="仿宋" w:cs="仿宋"/>
          <w:kern w:val="0"/>
          <w:sz w:val="30"/>
          <w:szCs w:val="30"/>
        </w:rPr>
      </w:pPr>
      <w:r>
        <w:rPr>
          <w:rFonts w:hint="eastAsia" w:ascii="仿宋" w:hAnsi="仿宋" w:eastAsia="仿宋" w:cs="仿宋"/>
          <w:kern w:val="0"/>
          <w:sz w:val="30"/>
          <w:szCs w:val="30"/>
        </w:rPr>
        <w:t>（八）“两项全能”以同一人马组合参加场地障碍、盛装舞步两项的总成绩计算排名，若不为同一人马组合则不计入两项全能排名。如一名骑手骑两匹马参加90cm超越赛及盛装舞步赛，则需在技术会后向裁判团明确哪一匹马参与“两项全能”排名。</w:t>
      </w:r>
    </w:p>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exact"/>
        <w:rPr>
          <w:rFonts w:ascii="仿宋" w:hAnsi="仿宋" w:eastAsia="仿宋" w:cs="仿宋"/>
          <w:bCs/>
          <w:color w:val="000000" w:themeColor="text1"/>
          <w:sz w:val="30"/>
          <w:szCs w:val="30"/>
          <w14:textFill>
            <w14:solidFill>
              <w14:schemeClr w14:val="tx1"/>
            </w14:solidFill>
          </w14:textFill>
        </w:rPr>
      </w:pPr>
      <w:r>
        <w:rPr>
          <w:rFonts w:hint="eastAsia" w:ascii="仿宋" w:hAnsi="仿宋" w:eastAsia="仿宋" w:cs="仿宋"/>
          <w:kern w:val="0"/>
          <w:sz w:val="30"/>
          <w:szCs w:val="30"/>
        </w:rPr>
        <w:t>（九）总决赛的部分参赛名额由分站赛产生。分站赛中，每个年龄组（U8、U10、U12、U14、U16、U18）的每个组别（90cm超越赛、60cm希望赛、30cm新星赛、盛装舞步赛）的冠军获胜参加总决赛参赛资格。已经获得一个组别总决赛参赛资格的骑手可以参加余下分站赛的比赛，并获得名次和奖励，但不再参与该组别总决赛资格获取，名额将顺延产生。总决赛报名开始后，放弃参加总决赛的骑手，名额将向后顺</w:t>
      </w:r>
      <w:r>
        <w:rPr>
          <w:rFonts w:hint="eastAsia" w:ascii="仿宋" w:hAnsi="仿宋" w:eastAsia="仿宋" w:cs="仿宋"/>
          <w:bCs/>
          <w:sz w:val="30"/>
          <w:szCs w:val="30"/>
        </w:rPr>
        <w:t>延产生。</w:t>
      </w:r>
      <w:r>
        <w:rPr>
          <w:rFonts w:hint="eastAsia" w:ascii="仿宋" w:hAnsi="仿宋" w:eastAsia="仿宋" w:cs="仿宋"/>
          <w:bCs/>
          <w:color w:val="000000" w:themeColor="text1"/>
          <w:sz w:val="30"/>
          <w:szCs w:val="30"/>
          <w14:textFill>
            <w14:solidFill>
              <w14:schemeClr w14:val="tx1"/>
            </w14:solidFill>
          </w14:textFill>
        </w:rPr>
        <w:t>如疫情对总决赛跨省参赛影响较大，则总决赛组委会有权视情况公开接受报名。</w:t>
      </w:r>
    </w:p>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exact"/>
        <w:rPr>
          <w:rFonts w:ascii="仿宋" w:hAnsi="仿宋" w:eastAsia="仿宋" w:cs="仿宋"/>
          <w:b/>
          <w:kern w:val="0"/>
          <w:sz w:val="30"/>
          <w:szCs w:val="30"/>
        </w:rPr>
      </w:pPr>
    </w:p>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exact"/>
        <w:rPr>
          <w:rFonts w:ascii="仿宋" w:hAnsi="仿宋" w:eastAsia="仿宋" w:cs="仿宋"/>
          <w:b/>
          <w:kern w:val="0"/>
          <w:sz w:val="30"/>
          <w:szCs w:val="30"/>
        </w:rPr>
      </w:pPr>
      <w:r>
        <w:rPr>
          <w:rFonts w:hint="eastAsia" w:ascii="仿宋" w:hAnsi="仿宋" w:eastAsia="仿宋" w:cs="仿宋"/>
          <w:b/>
          <w:kern w:val="0"/>
          <w:sz w:val="30"/>
          <w:szCs w:val="30"/>
        </w:rPr>
        <w:t xml:space="preserve">八、裁判员和仲裁 </w:t>
      </w:r>
    </w:p>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exact"/>
        <w:rPr>
          <w:rFonts w:ascii="仿宋" w:hAnsi="仿宋" w:eastAsia="仿宋" w:cs="仿宋"/>
          <w:kern w:val="0"/>
          <w:sz w:val="30"/>
          <w:szCs w:val="30"/>
        </w:rPr>
      </w:pPr>
      <w:r>
        <w:rPr>
          <w:rFonts w:hint="eastAsia" w:ascii="仿宋" w:hAnsi="仿宋" w:eastAsia="仿宋" w:cs="仿宋"/>
          <w:kern w:val="0"/>
          <w:sz w:val="30"/>
          <w:szCs w:val="30"/>
        </w:rPr>
        <w:t>（一）裁判员名单另行通知，人选由中国马术协会指定，不足部分由承办单位选派。</w:t>
      </w:r>
    </w:p>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exact"/>
        <w:rPr>
          <w:rFonts w:ascii="仿宋" w:hAnsi="仿宋" w:eastAsia="仿宋" w:cs="仿宋"/>
          <w:kern w:val="0"/>
          <w:sz w:val="30"/>
          <w:szCs w:val="30"/>
        </w:rPr>
      </w:pPr>
      <w:r>
        <w:rPr>
          <w:rFonts w:hint="eastAsia" w:ascii="仿宋" w:hAnsi="仿宋" w:eastAsia="仿宋" w:cs="仿宋"/>
          <w:kern w:val="0"/>
          <w:sz w:val="30"/>
          <w:szCs w:val="30"/>
        </w:rPr>
        <w:t>（二）仲裁委员会人员组成和职责范围，按中国马术协会《马术及速度赛马竞赛仲裁办法》执行。</w:t>
      </w:r>
    </w:p>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exact"/>
        <w:rPr>
          <w:rFonts w:ascii="仿宋" w:hAnsi="仿宋" w:eastAsia="仿宋" w:cs="仿宋"/>
          <w:b/>
          <w:kern w:val="0"/>
          <w:sz w:val="30"/>
          <w:szCs w:val="30"/>
        </w:rPr>
      </w:pPr>
    </w:p>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exact"/>
        <w:rPr>
          <w:rFonts w:ascii="仿宋" w:hAnsi="仿宋" w:eastAsia="仿宋" w:cs="仿宋"/>
          <w:b/>
          <w:kern w:val="0"/>
          <w:sz w:val="30"/>
          <w:szCs w:val="30"/>
        </w:rPr>
      </w:pPr>
    </w:p>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exact"/>
        <w:rPr>
          <w:rFonts w:ascii="仿宋" w:hAnsi="仿宋" w:eastAsia="仿宋" w:cs="仿宋"/>
          <w:b/>
          <w:kern w:val="0"/>
          <w:sz w:val="30"/>
          <w:szCs w:val="30"/>
        </w:rPr>
      </w:pPr>
    </w:p>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exact"/>
        <w:rPr>
          <w:rFonts w:ascii="仿宋" w:hAnsi="仿宋" w:eastAsia="仿宋" w:cs="仿宋"/>
          <w:b/>
          <w:kern w:val="0"/>
          <w:sz w:val="30"/>
          <w:szCs w:val="30"/>
        </w:rPr>
      </w:pPr>
    </w:p>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exact"/>
        <w:rPr>
          <w:rFonts w:ascii="仿宋" w:hAnsi="仿宋" w:eastAsia="仿宋" w:cs="仿宋"/>
          <w:b/>
          <w:kern w:val="0"/>
          <w:sz w:val="30"/>
          <w:szCs w:val="30"/>
        </w:rPr>
      </w:pPr>
      <w:r>
        <w:rPr>
          <w:rFonts w:hint="eastAsia" w:ascii="仿宋" w:hAnsi="仿宋" w:eastAsia="仿宋" w:cs="仿宋"/>
          <w:b/>
          <w:kern w:val="0"/>
          <w:sz w:val="30"/>
          <w:szCs w:val="30"/>
        </w:rPr>
        <w:t xml:space="preserve">九、录取名次和奖励 </w:t>
      </w:r>
    </w:p>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exact"/>
        <w:rPr>
          <w:rFonts w:ascii="仿宋" w:hAnsi="仿宋" w:eastAsia="仿宋" w:cs="仿宋"/>
          <w:kern w:val="0"/>
          <w:sz w:val="30"/>
          <w:szCs w:val="30"/>
        </w:rPr>
      </w:pPr>
      <w:r>
        <w:rPr>
          <w:rFonts w:hint="eastAsia" w:ascii="仿宋" w:hAnsi="仿宋" w:eastAsia="仿宋" w:cs="仿宋"/>
          <w:kern w:val="0"/>
          <w:sz w:val="30"/>
          <w:szCs w:val="30"/>
        </w:rPr>
        <w:t>（一）比赛按照U8、U10、U12、U14、U16、U18六个年龄段，分别对应场地障碍90cm超越赛、60cm希望赛、30cm新星赛、盛装舞步赛、“两项全能”共计五个小项设置奖项。</w:t>
      </w:r>
    </w:p>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exact"/>
        <w:rPr>
          <w:rFonts w:ascii="仿宋" w:hAnsi="仿宋" w:eastAsia="仿宋" w:cs="仿宋"/>
          <w:kern w:val="0"/>
          <w:sz w:val="30"/>
          <w:szCs w:val="30"/>
        </w:rPr>
      </w:pPr>
      <w:r>
        <w:rPr>
          <w:rFonts w:hint="eastAsia" w:ascii="仿宋" w:hAnsi="仿宋" w:eastAsia="仿宋" w:cs="仿宋"/>
          <w:kern w:val="0"/>
          <w:sz w:val="30"/>
          <w:szCs w:val="30"/>
        </w:rPr>
        <w:t>（二）各小项、各年龄段人马组合需最少满足3对，若不足3对，则该小项、该年龄段骑手的成绩计入该小项的上一年龄段一并评选。实际参赛人马组合不足9对，按参赛人马组合数减一录取，9对及以上录取前8名。前3名颁发获奖证书，其他名次颁发参赛证书，获奖马匹将授予佩花。</w:t>
      </w:r>
    </w:p>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exact"/>
        <w:rPr>
          <w:rFonts w:ascii="仿宋" w:hAnsi="仿宋" w:eastAsia="仿宋" w:cs="仿宋"/>
          <w:kern w:val="0"/>
          <w:sz w:val="30"/>
          <w:szCs w:val="30"/>
        </w:rPr>
      </w:pPr>
      <w:r>
        <w:rPr>
          <w:rFonts w:hint="eastAsia" w:ascii="仿宋" w:hAnsi="仿宋" w:eastAsia="仿宋" w:cs="仿宋"/>
          <w:kern w:val="0"/>
          <w:sz w:val="30"/>
          <w:szCs w:val="30"/>
        </w:rPr>
        <w:t>（三）“两项全能”评选的参赛人马组合不足9对，按参赛人马组合数减一录取，9对及以上录取前8名，不足3名骑手时取消评选。前3名颁发获奖证书，其他名次颁发参赛证书，获奖马匹将授予佩花。</w:t>
      </w:r>
    </w:p>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exact"/>
        <w:rPr>
          <w:rFonts w:ascii="仿宋" w:hAnsi="仿宋" w:eastAsia="仿宋" w:cs="仿宋"/>
          <w:kern w:val="0"/>
          <w:sz w:val="30"/>
          <w:szCs w:val="30"/>
        </w:rPr>
      </w:pPr>
    </w:p>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exact"/>
        <w:rPr>
          <w:rFonts w:ascii="仿宋" w:hAnsi="仿宋" w:eastAsia="仿宋" w:cs="仿宋"/>
          <w:b/>
          <w:kern w:val="0"/>
          <w:sz w:val="30"/>
          <w:szCs w:val="30"/>
        </w:rPr>
      </w:pPr>
      <w:r>
        <w:rPr>
          <w:rFonts w:hint="eastAsia" w:ascii="仿宋" w:hAnsi="仿宋" w:eastAsia="仿宋" w:cs="仿宋"/>
          <w:b/>
          <w:kern w:val="0"/>
          <w:sz w:val="30"/>
          <w:szCs w:val="30"/>
        </w:rPr>
        <w:t xml:space="preserve">十、报名和报到 </w:t>
      </w:r>
    </w:p>
    <w:p>
      <w:pPr>
        <w:spacing w:line="480" w:lineRule="exact"/>
        <w:rPr>
          <w:rFonts w:ascii="仿宋" w:hAnsi="仿宋" w:eastAsia="仿宋" w:cs="仿宋"/>
          <w:kern w:val="0"/>
          <w:sz w:val="30"/>
          <w:szCs w:val="30"/>
        </w:rPr>
      </w:pPr>
      <w:r>
        <w:rPr>
          <w:rFonts w:hint="eastAsia" w:ascii="仿宋" w:hAnsi="仿宋" w:eastAsia="仿宋" w:cs="仿宋"/>
          <w:kern w:val="0"/>
          <w:sz w:val="30"/>
          <w:szCs w:val="30"/>
        </w:rPr>
        <w:t>（一）</w:t>
      </w:r>
      <w:r>
        <w:rPr>
          <w:rFonts w:hint="eastAsia" w:ascii="仿宋" w:hAnsi="仿宋" w:eastAsia="仿宋" w:cs="仿宋"/>
          <w:sz w:val="30"/>
          <w:szCs w:val="30"/>
        </w:rPr>
        <w:t>各参赛运动队报到，报到的同时提交马匹护照和马匹检疫证明，未提交相关证明的马匹不得进入马厩。参赛马匹均须按国际马联相关规定注射流感疫苗，并在护照进行详细记录，无疫苗或疫苗不符合国际马联要求的马匹，组委会有权拒绝其参赛。</w:t>
      </w:r>
    </w:p>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exact"/>
        <w:rPr>
          <w:rFonts w:ascii="仿宋" w:hAnsi="仿宋" w:eastAsia="仿宋" w:cs="仿宋"/>
          <w:kern w:val="0"/>
          <w:sz w:val="30"/>
          <w:szCs w:val="30"/>
        </w:rPr>
      </w:pPr>
      <w:r>
        <w:rPr>
          <w:rFonts w:hint="eastAsia" w:ascii="仿宋" w:hAnsi="仿宋" w:eastAsia="仿宋" w:cs="仿宋"/>
          <w:kern w:val="0"/>
          <w:sz w:val="30"/>
          <w:szCs w:val="30"/>
        </w:rPr>
        <w:t xml:space="preserve">（二）各参赛单位须按照每场U系列比赛通知要求进行报名，逾期报名，按不参加论。截至比赛抽签前，各参赛单位可按照规则规定在报名的替补运动员和马匹范围内更换运动员或马匹，替补马匹必须参加赛前验马。 </w:t>
      </w:r>
    </w:p>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exact"/>
        <w:rPr>
          <w:rFonts w:ascii="仿宋" w:hAnsi="仿宋" w:eastAsia="仿宋" w:cs="仿宋"/>
          <w:kern w:val="0"/>
          <w:sz w:val="30"/>
          <w:szCs w:val="30"/>
        </w:rPr>
      </w:pPr>
      <w:r>
        <w:rPr>
          <w:rFonts w:hint="eastAsia" w:ascii="仿宋" w:hAnsi="仿宋" w:eastAsia="仿宋" w:cs="仿宋"/>
          <w:kern w:val="0"/>
          <w:sz w:val="30"/>
          <w:szCs w:val="30"/>
        </w:rPr>
        <w:t xml:space="preserve">（三）参赛队和大会指定裁判员于赛前2天到赛区报到，赛后1天离会。 </w:t>
      </w:r>
    </w:p>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exact"/>
        <w:rPr>
          <w:rFonts w:ascii="仿宋" w:hAnsi="仿宋" w:eastAsia="仿宋" w:cs="仿宋"/>
          <w:kern w:val="0"/>
          <w:sz w:val="30"/>
          <w:szCs w:val="30"/>
        </w:rPr>
      </w:pPr>
    </w:p>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exact"/>
        <w:rPr>
          <w:rFonts w:ascii="仿宋" w:hAnsi="仿宋" w:eastAsia="仿宋" w:cs="仿宋"/>
          <w:b/>
          <w:kern w:val="0"/>
          <w:sz w:val="30"/>
          <w:szCs w:val="30"/>
        </w:rPr>
      </w:pPr>
    </w:p>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exact"/>
        <w:rPr>
          <w:rFonts w:ascii="仿宋" w:hAnsi="仿宋" w:eastAsia="仿宋" w:cs="仿宋"/>
          <w:b/>
          <w:kern w:val="0"/>
          <w:sz w:val="30"/>
          <w:szCs w:val="30"/>
        </w:rPr>
      </w:pPr>
      <w:r>
        <w:rPr>
          <w:rFonts w:hint="eastAsia" w:ascii="仿宋" w:hAnsi="仿宋" w:eastAsia="仿宋" w:cs="仿宋"/>
          <w:b/>
          <w:kern w:val="0"/>
          <w:sz w:val="30"/>
          <w:szCs w:val="30"/>
        </w:rPr>
        <w:t xml:space="preserve">十一、器材和经费 </w:t>
      </w:r>
    </w:p>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exact"/>
        <w:rPr>
          <w:rFonts w:ascii="仿宋" w:hAnsi="仿宋" w:eastAsia="仿宋" w:cs="仿宋"/>
          <w:kern w:val="0"/>
          <w:sz w:val="30"/>
          <w:szCs w:val="30"/>
        </w:rPr>
      </w:pPr>
      <w:r>
        <w:rPr>
          <w:rFonts w:hint="eastAsia" w:ascii="仿宋" w:hAnsi="仿宋" w:eastAsia="仿宋" w:cs="仿宋"/>
          <w:kern w:val="0"/>
          <w:sz w:val="30"/>
          <w:szCs w:val="30"/>
        </w:rPr>
        <w:t>（一）各参赛代表队一切费用自理。</w:t>
      </w:r>
    </w:p>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exact"/>
        <w:rPr>
          <w:rFonts w:ascii="仿宋" w:hAnsi="仿宋" w:eastAsia="仿宋" w:cs="仿宋"/>
          <w:kern w:val="0"/>
          <w:sz w:val="30"/>
          <w:szCs w:val="30"/>
        </w:rPr>
      </w:pPr>
      <w:r>
        <w:rPr>
          <w:rFonts w:hint="eastAsia" w:ascii="仿宋" w:hAnsi="仿宋" w:eastAsia="仿宋" w:cs="仿宋"/>
          <w:kern w:val="0"/>
          <w:sz w:val="30"/>
          <w:szCs w:val="30"/>
        </w:rPr>
        <w:t>（二）参赛运动员和马匹在比赛期间的意外保险由各代表队自行办理。参赛运动员和马匹在比赛期间所发生的伤害与意外事故，主办单位和承办单位均不承担任何责任。</w:t>
      </w:r>
    </w:p>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exact"/>
        <w:rPr>
          <w:rFonts w:ascii="仿宋" w:hAnsi="仿宋" w:eastAsia="仿宋" w:cs="仿宋"/>
          <w:kern w:val="0"/>
          <w:sz w:val="30"/>
          <w:szCs w:val="30"/>
        </w:rPr>
      </w:pPr>
    </w:p>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exact"/>
        <w:rPr>
          <w:rFonts w:ascii="仿宋" w:hAnsi="仿宋" w:eastAsia="仿宋" w:cs="仿宋"/>
          <w:b/>
          <w:kern w:val="0"/>
          <w:sz w:val="30"/>
          <w:szCs w:val="30"/>
        </w:rPr>
      </w:pPr>
      <w:r>
        <w:rPr>
          <w:rFonts w:hint="eastAsia" w:ascii="仿宋" w:hAnsi="仿宋" w:eastAsia="仿宋" w:cs="仿宋"/>
          <w:b/>
          <w:kern w:val="0"/>
          <w:sz w:val="30"/>
          <w:szCs w:val="30"/>
        </w:rPr>
        <w:t xml:space="preserve">十二、其他 </w:t>
      </w:r>
    </w:p>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exact"/>
        <w:rPr>
          <w:rFonts w:ascii="仿宋" w:hAnsi="仿宋" w:eastAsia="仿宋" w:cs="仿宋"/>
          <w:kern w:val="0"/>
          <w:sz w:val="30"/>
          <w:szCs w:val="30"/>
        </w:rPr>
      </w:pPr>
      <w:r>
        <w:rPr>
          <w:rFonts w:hint="eastAsia" w:ascii="仿宋" w:hAnsi="仿宋" w:eastAsia="仿宋" w:cs="仿宋"/>
          <w:kern w:val="0"/>
          <w:sz w:val="30"/>
          <w:szCs w:val="30"/>
        </w:rPr>
        <w:t>（一）参赛马匹须按规定注射马流感疫苗。</w:t>
      </w:r>
    </w:p>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exact"/>
        <w:rPr>
          <w:rFonts w:ascii="仿宋" w:hAnsi="仿宋" w:eastAsia="仿宋" w:cs="仿宋"/>
          <w:kern w:val="0"/>
          <w:sz w:val="30"/>
          <w:szCs w:val="30"/>
        </w:rPr>
      </w:pPr>
      <w:r>
        <w:rPr>
          <w:rFonts w:hint="eastAsia" w:ascii="仿宋" w:hAnsi="仿宋" w:eastAsia="仿宋" w:cs="仿宋"/>
          <w:kern w:val="0"/>
          <w:sz w:val="30"/>
          <w:szCs w:val="30"/>
        </w:rPr>
        <w:t xml:space="preserve">（二）未尽事宜,另行通知。 </w:t>
      </w:r>
    </w:p>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exact"/>
        <w:rPr>
          <w:rFonts w:ascii="仿宋" w:hAnsi="仿宋" w:eastAsia="仿宋" w:cs="仿宋"/>
          <w:b/>
          <w:kern w:val="0"/>
          <w:sz w:val="30"/>
          <w:szCs w:val="30"/>
        </w:rPr>
      </w:pPr>
    </w:p>
    <w:p>
      <w:pPr>
        <w:widowControl/>
        <w:numPr>
          <w:ilvl w:val="0"/>
          <w:numId w:val="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exact"/>
        <w:rPr>
          <w:rFonts w:ascii="仿宋" w:hAnsi="仿宋" w:eastAsia="仿宋" w:cs="仿宋"/>
          <w:b/>
          <w:kern w:val="0"/>
          <w:sz w:val="30"/>
          <w:szCs w:val="30"/>
        </w:rPr>
      </w:pPr>
      <w:r>
        <w:rPr>
          <w:rFonts w:hint="eastAsia" w:ascii="仿宋" w:hAnsi="仿宋" w:eastAsia="仿宋" w:cs="仿宋"/>
          <w:b/>
          <w:kern w:val="0"/>
          <w:sz w:val="30"/>
          <w:szCs w:val="30"/>
        </w:rPr>
        <w:t>防疫特别要求</w:t>
      </w:r>
    </w:p>
    <w:p>
      <w:pPr>
        <w:widowControl/>
        <w:numPr>
          <w:ilvl w:val="0"/>
          <w:numId w:val="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exact"/>
        <w:rPr>
          <w:rFonts w:ascii="仿宋" w:hAnsi="仿宋" w:eastAsia="仿宋" w:cs="仿宋"/>
          <w:kern w:val="0"/>
          <w:sz w:val="30"/>
          <w:szCs w:val="30"/>
        </w:rPr>
      </w:pPr>
      <w:r>
        <w:rPr>
          <w:rFonts w:hint="eastAsia" w:ascii="仿宋" w:hAnsi="仿宋" w:eastAsia="仿宋" w:cs="仿宋"/>
          <w:sz w:val="30"/>
          <w:szCs w:val="30"/>
        </w:rPr>
        <w:t>根据属地防疫要求，参赛者</w:t>
      </w:r>
      <w:r>
        <w:rPr>
          <w:rFonts w:hint="eastAsia" w:ascii="仿宋" w:hAnsi="仿宋" w:eastAsia="仿宋" w:cs="仿宋"/>
          <w:kern w:val="0"/>
          <w:sz w:val="30"/>
          <w:szCs w:val="30"/>
        </w:rPr>
        <w:t>及其教练、随队人员</w:t>
      </w:r>
      <w:r>
        <w:rPr>
          <w:rFonts w:hint="eastAsia" w:ascii="仿宋" w:hAnsi="仿宋" w:eastAsia="仿宋" w:cs="仿宋"/>
          <w:sz w:val="30"/>
          <w:szCs w:val="30"/>
        </w:rPr>
        <w:t>抵达场地时必须出示刷新有效的绿色健康码，参赛者</w:t>
      </w:r>
      <w:r>
        <w:rPr>
          <w:rFonts w:hint="eastAsia" w:ascii="仿宋" w:hAnsi="仿宋" w:eastAsia="仿宋" w:cs="仿宋"/>
          <w:kern w:val="0"/>
          <w:sz w:val="30"/>
          <w:szCs w:val="30"/>
        </w:rPr>
        <w:t>及其教练、随队人员须48小时</w:t>
      </w:r>
      <w:r>
        <w:rPr>
          <w:rFonts w:hint="eastAsia" w:ascii="仿宋" w:hAnsi="仿宋" w:eastAsia="仿宋" w:cs="仿宋"/>
          <w:sz w:val="30"/>
          <w:szCs w:val="30"/>
        </w:rPr>
        <w:t>内（以报到日为准）的有效核酸检测阴性证明、个人疫情防控承诺书</w:t>
      </w:r>
      <w:r>
        <w:rPr>
          <w:rFonts w:hint="eastAsia" w:ascii="仿宋" w:hAnsi="仿宋" w:eastAsia="仿宋" w:cs="仿宋"/>
          <w:kern w:val="0"/>
          <w:sz w:val="30"/>
          <w:szCs w:val="30"/>
        </w:rPr>
        <w:t>参赛，在获得核酸检测阴性证明后方可进行签到。本场比赛组委会为减少人群聚集不组织集中核酸检测，建议参赛骑手自行至核酸检测机构或医院进行检测，不符合要求者不允许进入比赛场地。</w:t>
      </w:r>
    </w:p>
    <w:p>
      <w:pPr>
        <w:widowControl/>
        <w:numPr>
          <w:ilvl w:val="0"/>
          <w:numId w:val="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exact"/>
        <w:rPr>
          <w:rFonts w:ascii="仿宋" w:hAnsi="仿宋" w:eastAsia="仿宋" w:cs="仿宋"/>
          <w:kern w:val="0"/>
          <w:sz w:val="30"/>
          <w:szCs w:val="30"/>
        </w:rPr>
      </w:pPr>
      <w:r>
        <w:rPr>
          <w:rFonts w:hint="eastAsia" w:ascii="仿宋" w:hAnsi="仿宋" w:eastAsia="仿宋" w:cs="仿宋"/>
          <w:kern w:val="0"/>
          <w:sz w:val="30"/>
          <w:szCs w:val="30"/>
        </w:rPr>
        <w:t>除了核酸检测外，所有参赛骑手及陪同人员需遵守组委会制定的防疫相关措施，如体温检测、提供安全码、不聚集不扎堆、勤消毒戴口罩等，具体防疫措施请看附件。</w:t>
      </w:r>
    </w:p>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exact"/>
        <w:rPr>
          <w:rFonts w:ascii="仿宋" w:hAnsi="仿宋" w:eastAsia="仿宋" w:cs="仿宋"/>
          <w:kern w:val="0"/>
          <w:sz w:val="30"/>
          <w:szCs w:val="30"/>
        </w:rPr>
      </w:pPr>
      <w:r>
        <w:rPr>
          <w:rFonts w:hint="eastAsia" w:ascii="仿宋" w:hAnsi="仿宋" w:eastAsia="仿宋" w:cs="仿宋"/>
          <w:kern w:val="0"/>
          <w:sz w:val="30"/>
          <w:szCs w:val="30"/>
        </w:rPr>
        <w:t xml:space="preserve">    注：出于疫情防控需要，本次赛事暂不接受来自高风险和中风险地区运动员报名参赛。</w:t>
      </w:r>
    </w:p>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exact"/>
        <w:rPr>
          <w:rFonts w:ascii="仿宋" w:hAnsi="仿宋" w:eastAsia="仿宋" w:cs="仿宋"/>
          <w:kern w:val="0"/>
          <w:sz w:val="30"/>
          <w:szCs w:val="30"/>
        </w:rPr>
      </w:pPr>
    </w:p>
    <w:p>
      <w:pPr>
        <w:widowControl/>
        <w:spacing w:before="100" w:beforeAutospacing="1" w:after="100" w:afterAutospacing="1" w:line="520" w:lineRule="exact"/>
        <w:jc w:val="left"/>
        <w:rPr>
          <w:rFonts w:ascii="仿宋" w:hAnsi="仿宋" w:eastAsia="仿宋" w:cs="仿宋"/>
          <w:kern w:val="0"/>
          <w:sz w:val="30"/>
          <w:szCs w:val="30"/>
        </w:rPr>
      </w:pPr>
    </w:p>
    <w:p>
      <w:pPr>
        <w:widowControl/>
        <w:spacing w:before="100" w:beforeAutospacing="1" w:after="100" w:afterAutospacing="1" w:line="520" w:lineRule="exact"/>
        <w:jc w:val="left"/>
        <w:rPr>
          <w:rFonts w:ascii="仿宋" w:hAnsi="仿宋" w:eastAsia="仿宋" w:cs="仿宋"/>
          <w:kern w:val="0"/>
          <w:sz w:val="30"/>
          <w:szCs w:val="30"/>
        </w:rPr>
      </w:pPr>
    </w:p>
    <w:p>
      <w:pPr>
        <w:widowControl/>
        <w:spacing w:before="100" w:beforeAutospacing="1" w:after="100" w:afterAutospacing="1" w:line="520" w:lineRule="exact"/>
        <w:jc w:val="left"/>
        <w:rPr>
          <w:rFonts w:ascii="仿宋" w:hAnsi="仿宋" w:eastAsia="仿宋" w:cs="仿宋"/>
          <w:kern w:val="0"/>
          <w:sz w:val="30"/>
          <w:szCs w:val="30"/>
        </w:rPr>
      </w:pPr>
    </w:p>
    <w:p>
      <w:pPr>
        <w:widowControl/>
        <w:spacing w:before="100" w:beforeAutospacing="1" w:after="100" w:afterAutospacing="1" w:line="520" w:lineRule="exact"/>
        <w:jc w:val="left"/>
        <w:rPr>
          <w:rFonts w:ascii="仿宋" w:hAnsi="仿宋" w:eastAsia="仿宋" w:cs="仿宋"/>
          <w:kern w:val="0"/>
          <w:sz w:val="30"/>
          <w:szCs w:val="30"/>
        </w:rPr>
      </w:pPr>
      <w:r>
        <w:rPr>
          <w:rFonts w:hint="eastAsia" w:ascii="仿宋" w:hAnsi="仿宋" w:eastAsia="仿宋" w:cs="仿宋"/>
          <w:kern w:val="0"/>
          <w:sz w:val="30"/>
          <w:szCs w:val="30"/>
        </w:rPr>
        <w:t>附件1:  盛装舞步比赛路线图（中马协初二级科目）</w:t>
      </w:r>
    </w:p>
    <w:p>
      <w:pPr>
        <w:widowControl/>
        <w:spacing w:before="100" w:beforeAutospacing="1" w:after="100" w:afterAutospacing="1"/>
        <w:jc w:val="left"/>
        <w:rPr>
          <w:rFonts w:ascii="仿宋" w:hAnsi="仿宋" w:eastAsia="仿宋" w:cs="仿宋"/>
          <w:kern w:val="0"/>
          <w:sz w:val="30"/>
          <w:szCs w:val="30"/>
        </w:rPr>
      </w:pPr>
      <w:r>
        <w:rPr>
          <w:sz w:val="30"/>
        </w:rPr>
        <mc:AlternateContent>
          <mc:Choice Requires="wps">
            <w:drawing>
              <wp:anchor distT="0" distB="0" distL="114300" distR="114300" simplePos="0" relativeHeight="251659264" behindDoc="0" locked="0" layoutInCell="1" allowOverlap="1">
                <wp:simplePos x="0" y="0"/>
                <wp:positionH relativeFrom="column">
                  <wp:posOffset>4403725</wp:posOffset>
                </wp:positionH>
                <wp:positionV relativeFrom="paragraph">
                  <wp:posOffset>1295400</wp:posOffset>
                </wp:positionV>
                <wp:extent cx="712470" cy="417830"/>
                <wp:effectExtent l="0" t="0" r="11430" b="1270"/>
                <wp:wrapNone/>
                <wp:docPr id="1" name="文本框 1"/>
                <wp:cNvGraphicFramePr/>
                <a:graphic xmlns:a="http://schemas.openxmlformats.org/drawingml/2006/main">
                  <a:graphicData uri="http://schemas.microsoft.com/office/word/2010/wordprocessingShape">
                    <wps:wsp>
                      <wps:cNvSpPr txBox="1"/>
                      <wps:spPr>
                        <a:xfrm>
                          <a:off x="5559425" y="2813050"/>
                          <a:ext cx="712470" cy="41783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spacing w:line="160" w:lineRule="exact"/>
                              <w:rPr>
                                <w:rFonts w:ascii="黑体" w:hAnsi="黑体" w:eastAsia="黑体" w:cs="黑体"/>
                                <w:sz w:val="11"/>
                                <w:szCs w:val="11"/>
                              </w:rPr>
                            </w:pPr>
                            <w:r>
                              <w:rPr>
                                <w:rFonts w:hint="eastAsia" w:ascii="黑体" w:hAnsi="黑体" w:eastAsia="黑体" w:cs="黑体"/>
                                <w:sz w:val="11"/>
                                <w:szCs w:val="11"/>
                              </w:rPr>
                              <w:t>EAF:工作快步</w:t>
                            </w:r>
                          </w:p>
                          <w:p>
                            <w:pPr>
                              <w:spacing w:line="160" w:lineRule="exact"/>
                              <w:rPr>
                                <w:rFonts w:ascii="黑体" w:hAnsi="黑体" w:eastAsia="黑体" w:cs="黑体"/>
                                <w:sz w:val="11"/>
                                <w:szCs w:val="11"/>
                              </w:rPr>
                            </w:pPr>
                            <w:r>
                              <w:rPr>
                                <w:rFonts w:hint="eastAsia" w:ascii="黑体" w:hAnsi="黑体" w:eastAsia="黑体" w:cs="黑体"/>
                                <w:sz w:val="11"/>
                                <w:szCs w:val="11"/>
                              </w:rPr>
                              <w:t>FXH:斜换里怀</w:t>
                            </w:r>
                          </w:p>
                          <w:p>
                            <w:pPr>
                              <w:spacing w:line="160" w:lineRule="exact"/>
                              <w:rPr>
                                <w:rFonts w:ascii="黑体" w:hAnsi="黑体" w:eastAsia="黑体" w:cs="黑体"/>
                                <w:sz w:val="11"/>
                                <w:szCs w:val="11"/>
                              </w:rPr>
                            </w:pPr>
                            <w:r>
                              <w:rPr>
                                <w:rFonts w:hint="eastAsia" w:ascii="黑体" w:hAnsi="黑体" w:eastAsia="黑体" w:cs="黑体"/>
                                <w:sz w:val="11"/>
                                <w:szCs w:val="11"/>
                              </w:rPr>
                              <w:t>HCB:工作快步</w:t>
                            </w:r>
                          </w:p>
                          <w:p>
                            <w:pPr>
                              <w:rPr>
                                <w:rFonts w:ascii="黑体" w:hAnsi="黑体" w:eastAsia="黑体" w:cs="黑体"/>
                                <w:sz w:val="11"/>
                                <w:szCs w:val="11"/>
                              </w:rPr>
                            </w:pPr>
                          </w:p>
                          <w:p>
                            <w:pPr>
                              <w:rPr>
                                <w:rFonts w:ascii="黑体" w:hAnsi="黑体" w:eastAsia="黑体" w:cs="黑体"/>
                                <w:sz w:val="11"/>
                                <w:szCs w:val="11"/>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46.75pt;margin-top:102pt;height:32.9pt;width:56.1pt;z-index:251659264;mso-width-relative:page;mso-height-relative:page;" fillcolor="#FFFFFF [3201]" filled="t" stroked="f" coordsize="21600,21600" o:gfxdata="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">
                <v:fill on="t" focussize="0,0"/>
                <v:stroke on="f" weight="0.5pt"/>
                <v:imagedata o:title=""/>
                <o:lock v:ext="edit" aspectratio="f"/>
                <v:textbox>
                  <w:txbxContent>
                    <w:p>
                      <w:pPr>
                        <w:spacing w:line="160" w:lineRule="exact"/>
                        <w:rPr>
                          <w:rFonts w:ascii="黑体" w:hAnsi="黑体" w:eastAsia="黑体" w:cs="黑体"/>
                          <w:sz w:val="11"/>
                          <w:szCs w:val="11"/>
                        </w:rPr>
                      </w:pPr>
                      <w:r>
                        <w:rPr>
                          <w:rFonts w:hint="eastAsia" w:ascii="黑体" w:hAnsi="黑体" w:eastAsia="黑体" w:cs="黑体"/>
                          <w:sz w:val="11"/>
                          <w:szCs w:val="11"/>
                        </w:rPr>
                        <w:t>EAF:工作快步</w:t>
                      </w:r>
                    </w:p>
                    <w:p>
                      <w:pPr>
                        <w:spacing w:line="160" w:lineRule="exact"/>
                        <w:rPr>
                          <w:rFonts w:ascii="黑体" w:hAnsi="黑体" w:eastAsia="黑体" w:cs="黑体"/>
                          <w:sz w:val="11"/>
                          <w:szCs w:val="11"/>
                        </w:rPr>
                      </w:pPr>
                      <w:r>
                        <w:rPr>
                          <w:rFonts w:hint="eastAsia" w:ascii="黑体" w:hAnsi="黑体" w:eastAsia="黑体" w:cs="黑体"/>
                          <w:sz w:val="11"/>
                          <w:szCs w:val="11"/>
                        </w:rPr>
                        <w:t>FXH:斜换里怀</w:t>
                      </w:r>
                    </w:p>
                    <w:p>
                      <w:pPr>
                        <w:spacing w:line="160" w:lineRule="exact"/>
                        <w:rPr>
                          <w:rFonts w:ascii="黑体" w:hAnsi="黑体" w:eastAsia="黑体" w:cs="黑体"/>
                          <w:sz w:val="11"/>
                          <w:szCs w:val="11"/>
                        </w:rPr>
                      </w:pPr>
                      <w:r>
                        <w:rPr>
                          <w:rFonts w:hint="eastAsia" w:ascii="黑体" w:hAnsi="黑体" w:eastAsia="黑体" w:cs="黑体"/>
                          <w:sz w:val="11"/>
                          <w:szCs w:val="11"/>
                        </w:rPr>
                        <w:t>HCB:工作快步</w:t>
                      </w:r>
                    </w:p>
                    <w:p>
                      <w:pPr>
                        <w:rPr>
                          <w:rFonts w:ascii="黑体" w:hAnsi="黑体" w:eastAsia="黑体" w:cs="黑体"/>
                          <w:sz w:val="11"/>
                          <w:szCs w:val="11"/>
                        </w:rPr>
                      </w:pPr>
                    </w:p>
                    <w:p>
                      <w:pPr>
                        <w:rPr>
                          <w:rFonts w:ascii="黑体" w:hAnsi="黑体" w:eastAsia="黑体" w:cs="黑体"/>
                          <w:sz w:val="11"/>
                          <w:szCs w:val="11"/>
                        </w:rPr>
                      </w:pPr>
                    </w:p>
                  </w:txbxContent>
                </v:textbox>
              </v:shape>
            </w:pict>
          </mc:Fallback>
        </mc:AlternateContent>
      </w:r>
      <w:r>
        <w:rPr>
          <w:rFonts w:hint="eastAsia" w:ascii="仿宋" w:hAnsi="仿宋" w:eastAsia="仿宋" w:cs="仿宋"/>
          <w:kern w:val="0"/>
          <w:sz w:val="30"/>
          <w:szCs w:val="30"/>
        </w:rPr>
        <w:drawing>
          <wp:inline distT="0" distB="0" distL="114300" distR="114300">
            <wp:extent cx="5262880" cy="7329170"/>
            <wp:effectExtent l="0" t="0" r="13970" b="5080"/>
            <wp:docPr id="5" name="图片 5" descr="c046470220486836e0c423596d1730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c046470220486836e0c423596d1730c"/>
                    <pic:cNvPicPr>
                      <a:picLocks noChangeAspect="1"/>
                    </pic:cNvPicPr>
                  </pic:nvPicPr>
                  <pic:blipFill>
                    <a:blip r:embed="rId4"/>
                    <a:stretch>
                      <a:fillRect/>
                    </a:stretch>
                  </pic:blipFill>
                  <pic:spPr>
                    <a:xfrm>
                      <a:off x="0" y="0"/>
                      <a:ext cx="5262880" cy="7329170"/>
                    </a:xfrm>
                    <a:prstGeom prst="rect">
                      <a:avLst/>
                    </a:prstGeom>
                  </pic:spPr>
                </pic:pic>
              </a:graphicData>
            </a:graphic>
          </wp:inline>
        </w:drawing>
      </w:r>
    </w:p>
    <w:p>
      <w:pPr>
        <w:widowControl/>
        <w:spacing w:before="100" w:beforeAutospacing="1" w:after="100" w:afterAutospacing="1"/>
        <w:jc w:val="left"/>
        <w:rPr>
          <w:rFonts w:ascii="仿宋" w:hAnsi="仿宋" w:eastAsia="仿宋" w:cs="仿宋"/>
          <w:kern w:val="0"/>
          <w:sz w:val="30"/>
          <w:szCs w:val="30"/>
        </w:rPr>
      </w:pPr>
      <w:r>
        <w:rPr>
          <w:rFonts w:hint="eastAsia" w:ascii="仿宋" w:hAnsi="仿宋" w:eastAsia="仿宋" w:cs="仿宋"/>
          <w:kern w:val="0"/>
          <w:sz w:val="30"/>
          <w:szCs w:val="30"/>
        </w:rPr>
        <w:drawing>
          <wp:inline distT="0" distB="0" distL="114300" distR="114300">
            <wp:extent cx="4551045" cy="8894445"/>
            <wp:effectExtent l="0" t="0" r="1905" b="1905"/>
            <wp:docPr id="10" name="图片 10" descr="1aef12e71e1683473375a3cee5babd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1aef12e71e1683473375a3cee5babdf"/>
                    <pic:cNvPicPr>
                      <a:picLocks noChangeAspect="1"/>
                    </pic:cNvPicPr>
                  </pic:nvPicPr>
                  <pic:blipFill>
                    <a:blip r:embed="rId5">
                      <a:lum contrast="-6000"/>
                    </a:blip>
                    <a:srcRect b="22944"/>
                    <a:stretch>
                      <a:fillRect/>
                    </a:stretch>
                  </pic:blipFill>
                  <pic:spPr>
                    <a:xfrm>
                      <a:off x="0" y="0"/>
                      <a:ext cx="4551045" cy="8894445"/>
                    </a:xfrm>
                    <a:prstGeom prst="rect">
                      <a:avLst/>
                    </a:prstGeom>
                  </pic:spPr>
                </pic:pic>
              </a:graphicData>
            </a:graphic>
          </wp:inline>
        </w:drawing>
      </w:r>
    </w:p>
    <w:sectPr>
      <w:pgSz w:w="11900" w:h="16840"/>
      <w:pgMar w:top="1440" w:right="1800" w:bottom="1440" w:left="1800" w:header="851" w:footer="992" w:gutter="0"/>
      <w:cols w:space="425" w:num="1"/>
      <w:docGrid w:type="lines" w:linePitch="423"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85092A7"/>
    <w:multiLevelType w:val="singleLevel"/>
    <w:tmpl w:val="C85092A7"/>
    <w:lvl w:ilvl="0" w:tentative="0">
      <w:start w:val="1"/>
      <w:numFmt w:val="chineseCounting"/>
      <w:suff w:val="nothing"/>
      <w:lvlText w:val="（%1）"/>
      <w:lvlJc w:val="left"/>
      <w:rPr>
        <w:rFonts w:hint="eastAsia"/>
      </w:rPr>
    </w:lvl>
  </w:abstractNum>
  <w:abstractNum w:abstractNumId="1">
    <w:nsid w:val="E52BCA0B"/>
    <w:multiLevelType w:val="singleLevel"/>
    <w:tmpl w:val="E52BCA0B"/>
    <w:lvl w:ilvl="0" w:tentative="0">
      <w:start w:val="13"/>
      <w:numFmt w:val="chineseCounting"/>
      <w:suff w:val="nothing"/>
      <w:lvlText w:val="%1、"/>
      <w:lvlJc w:val="left"/>
      <w:rPr>
        <w:rFonts w:hint="eastAsia"/>
      </w:rPr>
    </w:lvl>
  </w:abstractNum>
  <w:abstractNum w:abstractNumId="2">
    <w:nsid w:val="EB2B19AC"/>
    <w:multiLevelType w:val="singleLevel"/>
    <w:tmpl w:val="EB2B19AC"/>
    <w:lvl w:ilvl="0" w:tentative="0">
      <w:start w:val="3"/>
      <w:numFmt w:val="chineseCounting"/>
      <w:suff w:val="nothing"/>
      <w:lvlText w:val="%1、"/>
      <w:lvlJc w:val="left"/>
      <w:rPr>
        <w:rFonts w:hint="eastAsia"/>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cumentProtection w:enforcement="0"/>
  <w:defaultTabStop w:val="420"/>
  <w:drawingGridVerticalSpacing w:val="200"/>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FmZTY1YzAwY2RhYjg1ZjRkM2ViMGI5ZTkzOWI4NDUifQ=="/>
  </w:docVars>
  <w:rsids>
    <w:rsidRoot w:val="00500AFD"/>
    <w:rsid w:val="00021305"/>
    <w:rsid w:val="00034874"/>
    <w:rsid w:val="000454F6"/>
    <w:rsid w:val="00045CDC"/>
    <w:rsid w:val="00054D99"/>
    <w:rsid w:val="0006081E"/>
    <w:rsid w:val="00084922"/>
    <w:rsid w:val="00093ADF"/>
    <w:rsid w:val="00094052"/>
    <w:rsid w:val="000D786F"/>
    <w:rsid w:val="000E21D6"/>
    <w:rsid w:val="000F3465"/>
    <w:rsid w:val="00117869"/>
    <w:rsid w:val="00126B73"/>
    <w:rsid w:val="00140E08"/>
    <w:rsid w:val="00153AED"/>
    <w:rsid w:val="00164850"/>
    <w:rsid w:val="001670B9"/>
    <w:rsid w:val="001679EB"/>
    <w:rsid w:val="001A08D0"/>
    <w:rsid w:val="001B07E4"/>
    <w:rsid w:val="001D5D70"/>
    <w:rsid w:val="001E1FF7"/>
    <w:rsid w:val="001E23F4"/>
    <w:rsid w:val="0020296A"/>
    <w:rsid w:val="00223533"/>
    <w:rsid w:val="00231DFB"/>
    <w:rsid w:val="00253BFE"/>
    <w:rsid w:val="00254BEC"/>
    <w:rsid w:val="00262996"/>
    <w:rsid w:val="002642A6"/>
    <w:rsid w:val="0026474A"/>
    <w:rsid w:val="002872DE"/>
    <w:rsid w:val="00292B67"/>
    <w:rsid w:val="00293897"/>
    <w:rsid w:val="002B26A2"/>
    <w:rsid w:val="002B6DEB"/>
    <w:rsid w:val="002B7E07"/>
    <w:rsid w:val="002C2E65"/>
    <w:rsid w:val="002C47C7"/>
    <w:rsid w:val="002F4329"/>
    <w:rsid w:val="002F5CAE"/>
    <w:rsid w:val="003060BD"/>
    <w:rsid w:val="00361481"/>
    <w:rsid w:val="00363036"/>
    <w:rsid w:val="003716BF"/>
    <w:rsid w:val="00374772"/>
    <w:rsid w:val="00375AC1"/>
    <w:rsid w:val="00381710"/>
    <w:rsid w:val="00385184"/>
    <w:rsid w:val="00385556"/>
    <w:rsid w:val="00396526"/>
    <w:rsid w:val="00396B22"/>
    <w:rsid w:val="003A3120"/>
    <w:rsid w:val="003B1798"/>
    <w:rsid w:val="003B6380"/>
    <w:rsid w:val="003C55BC"/>
    <w:rsid w:val="003E1759"/>
    <w:rsid w:val="003E1A75"/>
    <w:rsid w:val="003F00FF"/>
    <w:rsid w:val="003F5838"/>
    <w:rsid w:val="0042039E"/>
    <w:rsid w:val="004214F0"/>
    <w:rsid w:val="0045592D"/>
    <w:rsid w:val="00456A16"/>
    <w:rsid w:val="004605E7"/>
    <w:rsid w:val="00486DD4"/>
    <w:rsid w:val="00491207"/>
    <w:rsid w:val="00492C69"/>
    <w:rsid w:val="00494FB3"/>
    <w:rsid w:val="004A0AD2"/>
    <w:rsid w:val="004E10DA"/>
    <w:rsid w:val="004F78D3"/>
    <w:rsid w:val="00500AFD"/>
    <w:rsid w:val="00501D39"/>
    <w:rsid w:val="0050350A"/>
    <w:rsid w:val="00504CF0"/>
    <w:rsid w:val="00513951"/>
    <w:rsid w:val="005160A3"/>
    <w:rsid w:val="00522B2D"/>
    <w:rsid w:val="00532942"/>
    <w:rsid w:val="00535FB3"/>
    <w:rsid w:val="00552DBA"/>
    <w:rsid w:val="00567106"/>
    <w:rsid w:val="00573D65"/>
    <w:rsid w:val="005A0DD5"/>
    <w:rsid w:val="005A4A3F"/>
    <w:rsid w:val="005C0D92"/>
    <w:rsid w:val="005E3173"/>
    <w:rsid w:val="00621076"/>
    <w:rsid w:val="00624858"/>
    <w:rsid w:val="00637604"/>
    <w:rsid w:val="00637F67"/>
    <w:rsid w:val="00643E58"/>
    <w:rsid w:val="0065447B"/>
    <w:rsid w:val="00657A28"/>
    <w:rsid w:val="00676AA5"/>
    <w:rsid w:val="006772CA"/>
    <w:rsid w:val="006859F7"/>
    <w:rsid w:val="006A5BE2"/>
    <w:rsid w:val="006C0F8F"/>
    <w:rsid w:val="006D3E6B"/>
    <w:rsid w:val="006E2E39"/>
    <w:rsid w:val="006F27E9"/>
    <w:rsid w:val="00701F04"/>
    <w:rsid w:val="007255C1"/>
    <w:rsid w:val="007265A3"/>
    <w:rsid w:val="00754C40"/>
    <w:rsid w:val="007610B2"/>
    <w:rsid w:val="00795681"/>
    <w:rsid w:val="007A7058"/>
    <w:rsid w:val="007B19BE"/>
    <w:rsid w:val="007B3052"/>
    <w:rsid w:val="007B3632"/>
    <w:rsid w:val="007B67FC"/>
    <w:rsid w:val="007B681C"/>
    <w:rsid w:val="007C5021"/>
    <w:rsid w:val="007D09D5"/>
    <w:rsid w:val="007D2D82"/>
    <w:rsid w:val="007E4BCF"/>
    <w:rsid w:val="007E7686"/>
    <w:rsid w:val="007E7DCF"/>
    <w:rsid w:val="007F48D6"/>
    <w:rsid w:val="007F714A"/>
    <w:rsid w:val="008010F0"/>
    <w:rsid w:val="00812F6B"/>
    <w:rsid w:val="00813A20"/>
    <w:rsid w:val="00813EAD"/>
    <w:rsid w:val="00814646"/>
    <w:rsid w:val="00827196"/>
    <w:rsid w:val="00831506"/>
    <w:rsid w:val="00856E8D"/>
    <w:rsid w:val="00857674"/>
    <w:rsid w:val="008607FF"/>
    <w:rsid w:val="00871110"/>
    <w:rsid w:val="00874872"/>
    <w:rsid w:val="0089220F"/>
    <w:rsid w:val="0089365A"/>
    <w:rsid w:val="008B391C"/>
    <w:rsid w:val="008C273D"/>
    <w:rsid w:val="008C5078"/>
    <w:rsid w:val="008D2142"/>
    <w:rsid w:val="008D69AB"/>
    <w:rsid w:val="008E14E3"/>
    <w:rsid w:val="008E500A"/>
    <w:rsid w:val="008F50B8"/>
    <w:rsid w:val="00911843"/>
    <w:rsid w:val="00912395"/>
    <w:rsid w:val="00923FAE"/>
    <w:rsid w:val="00924343"/>
    <w:rsid w:val="009248E9"/>
    <w:rsid w:val="009270FA"/>
    <w:rsid w:val="00930DBF"/>
    <w:rsid w:val="00936E50"/>
    <w:rsid w:val="009426E4"/>
    <w:rsid w:val="00946195"/>
    <w:rsid w:val="009465FC"/>
    <w:rsid w:val="00953148"/>
    <w:rsid w:val="009673F4"/>
    <w:rsid w:val="0097456B"/>
    <w:rsid w:val="00977757"/>
    <w:rsid w:val="00977C7C"/>
    <w:rsid w:val="00994110"/>
    <w:rsid w:val="00995997"/>
    <w:rsid w:val="009B367A"/>
    <w:rsid w:val="00A0356E"/>
    <w:rsid w:val="00A40838"/>
    <w:rsid w:val="00A40DD6"/>
    <w:rsid w:val="00A4216D"/>
    <w:rsid w:val="00A5044D"/>
    <w:rsid w:val="00A72DED"/>
    <w:rsid w:val="00AA15A9"/>
    <w:rsid w:val="00AB76D9"/>
    <w:rsid w:val="00AC2DB7"/>
    <w:rsid w:val="00AC35F7"/>
    <w:rsid w:val="00AC5CAE"/>
    <w:rsid w:val="00AC69C4"/>
    <w:rsid w:val="00AD6995"/>
    <w:rsid w:val="00AD79F3"/>
    <w:rsid w:val="00AE61D4"/>
    <w:rsid w:val="00AF0014"/>
    <w:rsid w:val="00AF12FD"/>
    <w:rsid w:val="00B01603"/>
    <w:rsid w:val="00B111A6"/>
    <w:rsid w:val="00B2625E"/>
    <w:rsid w:val="00B32A9E"/>
    <w:rsid w:val="00B32E85"/>
    <w:rsid w:val="00B445D9"/>
    <w:rsid w:val="00B45B75"/>
    <w:rsid w:val="00B61010"/>
    <w:rsid w:val="00B654A2"/>
    <w:rsid w:val="00B835B4"/>
    <w:rsid w:val="00B85B50"/>
    <w:rsid w:val="00B92E20"/>
    <w:rsid w:val="00B92E3E"/>
    <w:rsid w:val="00B9493A"/>
    <w:rsid w:val="00B9495F"/>
    <w:rsid w:val="00B9734B"/>
    <w:rsid w:val="00BA189F"/>
    <w:rsid w:val="00BA4C83"/>
    <w:rsid w:val="00BB3894"/>
    <w:rsid w:val="00BB5F9C"/>
    <w:rsid w:val="00BC7E46"/>
    <w:rsid w:val="00BE1F72"/>
    <w:rsid w:val="00BF0540"/>
    <w:rsid w:val="00BF0708"/>
    <w:rsid w:val="00BF11AF"/>
    <w:rsid w:val="00C04509"/>
    <w:rsid w:val="00C045B0"/>
    <w:rsid w:val="00C05BF4"/>
    <w:rsid w:val="00C2130F"/>
    <w:rsid w:val="00C258F0"/>
    <w:rsid w:val="00C27604"/>
    <w:rsid w:val="00C302EC"/>
    <w:rsid w:val="00C31903"/>
    <w:rsid w:val="00C431B1"/>
    <w:rsid w:val="00C579DA"/>
    <w:rsid w:val="00C61339"/>
    <w:rsid w:val="00C64D25"/>
    <w:rsid w:val="00C66CEF"/>
    <w:rsid w:val="00C71732"/>
    <w:rsid w:val="00C72765"/>
    <w:rsid w:val="00C7324C"/>
    <w:rsid w:val="00CA3080"/>
    <w:rsid w:val="00CC6D98"/>
    <w:rsid w:val="00CD4639"/>
    <w:rsid w:val="00CE1536"/>
    <w:rsid w:val="00CE55EA"/>
    <w:rsid w:val="00D0680D"/>
    <w:rsid w:val="00D14B9F"/>
    <w:rsid w:val="00D26F90"/>
    <w:rsid w:val="00D354B6"/>
    <w:rsid w:val="00D378FA"/>
    <w:rsid w:val="00D47122"/>
    <w:rsid w:val="00D57F87"/>
    <w:rsid w:val="00D6184E"/>
    <w:rsid w:val="00D63709"/>
    <w:rsid w:val="00D779F3"/>
    <w:rsid w:val="00D86C12"/>
    <w:rsid w:val="00D94339"/>
    <w:rsid w:val="00D96DF3"/>
    <w:rsid w:val="00DA1280"/>
    <w:rsid w:val="00DA374A"/>
    <w:rsid w:val="00DA3953"/>
    <w:rsid w:val="00DD15C0"/>
    <w:rsid w:val="00DD7CDA"/>
    <w:rsid w:val="00DE078A"/>
    <w:rsid w:val="00DF20D5"/>
    <w:rsid w:val="00DF2DF2"/>
    <w:rsid w:val="00DF382C"/>
    <w:rsid w:val="00E11CD4"/>
    <w:rsid w:val="00E1267D"/>
    <w:rsid w:val="00E21971"/>
    <w:rsid w:val="00E33581"/>
    <w:rsid w:val="00E358C7"/>
    <w:rsid w:val="00E51952"/>
    <w:rsid w:val="00E602D4"/>
    <w:rsid w:val="00E73566"/>
    <w:rsid w:val="00E77AED"/>
    <w:rsid w:val="00E92F9F"/>
    <w:rsid w:val="00E9623D"/>
    <w:rsid w:val="00EA0075"/>
    <w:rsid w:val="00EA4F13"/>
    <w:rsid w:val="00EC432D"/>
    <w:rsid w:val="00ED2955"/>
    <w:rsid w:val="00ED6D02"/>
    <w:rsid w:val="00EE157E"/>
    <w:rsid w:val="00EE38A6"/>
    <w:rsid w:val="00EF009A"/>
    <w:rsid w:val="00EF1717"/>
    <w:rsid w:val="00EF6468"/>
    <w:rsid w:val="00F0648E"/>
    <w:rsid w:val="00F0795E"/>
    <w:rsid w:val="00F25F7A"/>
    <w:rsid w:val="00F303B0"/>
    <w:rsid w:val="00F32CDF"/>
    <w:rsid w:val="00F37D87"/>
    <w:rsid w:val="00F433FD"/>
    <w:rsid w:val="00F468CE"/>
    <w:rsid w:val="00F55DBD"/>
    <w:rsid w:val="00F5641F"/>
    <w:rsid w:val="00F62DEF"/>
    <w:rsid w:val="00F67E5E"/>
    <w:rsid w:val="00F77DEA"/>
    <w:rsid w:val="00F80820"/>
    <w:rsid w:val="00F906FA"/>
    <w:rsid w:val="00F9526E"/>
    <w:rsid w:val="00FA6BE4"/>
    <w:rsid w:val="00FD0E92"/>
    <w:rsid w:val="00FD74A7"/>
    <w:rsid w:val="00FE1B8A"/>
    <w:rsid w:val="00FF6924"/>
    <w:rsid w:val="00FF7260"/>
    <w:rsid w:val="03411FB9"/>
    <w:rsid w:val="04AE73E4"/>
    <w:rsid w:val="05425691"/>
    <w:rsid w:val="06A6432B"/>
    <w:rsid w:val="07B124A4"/>
    <w:rsid w:val="07D011C4"/>
    <w:rsid w:val="08BE387D"/>
    <w:rsid w:val="09BE4FC9"/>
    <w:rsid w:val="0A3D797F"/>
    <w:rsid w:val="0BBB2DA6"/>
    <w:rsid w:val="0BC63A34"/>
    <w:rsid w:val="0CFD4387"/>
    <w:rsid w:val="11A100AB"/>
    <w:rsid w:val="11DD78F8"/>
    <w:rsid w:val="14BE346A"/>
    <w:rsid w:val="15CF55E7"/>
    <w:rsid w:val="166F28BA"/>
    <w:rsid w:val="17783DA4"/>
    <w:rsid w:val="18C164EC"/>
    <w:rsid w:val="1D9E5FD3"/>
    <w:rsid w:val="1F6C3401"/>
    <w:rsid w:val="20016901"/>
    <w:rsid w:val="20931C4F"/>
    <w:rsid w:val="20F253CA"/>
    <w:rsid w:val="20FC72E5"/>
    <w:rsid w:val="21936ED5"/>
    <w:rsid w:val="23E772D0"/>
    <w:rsid w:val="25197037"/>
    <w:rsid w:val="25E71C6C"/>
    <w:rsid w:val="26235823"/>
    <w:rsid w:val="26ED1F22"/>
    <w:rsid w:val="277C30DE"/>
    <w:rsid w:val="289114E1"/>
    <w:rsid w:val="28D61E8B"/>
    <w:rsid w:val="2A346513"/>
    <w:rsid w:val="2C1C62C3"/>
    <w:rsid w:val="2D461D94"/>
    <w:rsid w:val="2EC546A5"/>
    <w:rsid w:val="2EDD05BA"/>
    <w:rsid w:val="2F5E5976"/>
    <w:rsid w:val="31352705"/>
    <w:rsid w:val="318E0429"/>
    <w:rsid w:val="31E340B8"/>
    <w:rsid w:val="32AA7C79"/>
    <w:rsid w:val="32F842C3"/>
    <w:rsid w:val="33E6483E"/>
    <w:rsid w:val="343D3A9C"/>
    <w:rsid w:val="349D7098"/>
    <w:rsid w:val="34C208FD"/>
    <w:rsid w:val="36945C64"/>
    <w:rsid w:val="3881718E"/>
    <w:rsid w:val="3DA43295"/>
    <w:rsid w:val="3E1A2A27"/>
    <w:rsid w:val="3F260DF9"/>
    <w:rsid w:val="401364B0"/>
    <w:rsid w:val="433A6B1D"/>
    <w:rsid w:val="44407101"/>
    <w:rsid w:val="448C3C95"/>
    <w:rsid w:val="45692429"/>
    <w:rsid w:val="46B812BD"/>
    <w:rsid w:val="492D2BB8"/>
    <w:rsid w:val="49DC3EF0"/>
    <w:rsid w:val="4A8E442F"/>
    <w:rsid w:val="4ABF34BD"/>
    <w:rsid w:val="50A860A1"/>
    <w:rsid w:val="51E83CDC"/>
    <w:rsid w:val="52A93254"/>
    <w:rsid w:val="52D5524E"/>
    <w:rsid w:val="5434135B"/>
    <w:rsid w:val="56AE5057"/>
    <w:rsid w:val="56BF3430"/>
    <w:rsid w:val="570F757A"/>
    <w:rsid w:val="57386B82"/>
    <w:rsid w:val="58AB4DBC"/>
    <w:rsid w:val="5B6F12BA"/>
    <w:rsid w:val="5C6324DE"/>
    <w:rsid w:val="5D1416F7"/>
    <w:rsid w:val="5F3B6F72"/>
    <w:rsid w:val="5F6D3E2E"/>
    <w:rsid w:val="5FDE0577"/>
    <w:rsid w:val="60344C6C"/>
    <w:rsid w:val="60B341F9"/>
    <w:rsid w:val="61A22E95"/>
    <w:rsid w:val="61FA55D9"/>
    <w:rsid w:val="6280708C"/>
    <w:rsid w:val="62BF1D86"/>
    <w:rsid w:val="63B67EF7"/>
    <w:rsid w:val="64370110"/>
    <w:rsid w:val="65692BCE"/>
    <w:rsid w:val="65AA084B"/>
    <w:rsid w:val="668A5061"/>
    <w:rsid w:val="67754EAE"/>
    <w:rsid w:val="67ED22A0"/>
    <w:rsid w:val="687F04C6"/>
    <w:rsid w:val="689259B6"/>
    <w:rsid w:val="68F04317"/>
    <w:rsid w:val="69E7041B"/>
    <w:rsid w:val="69F6645B"/>
    <w:rsid w:val="6A907C18"/>
    <w:rsid w:val="6C412689"/>
    <w:rsid w:val="6C845EBC"/>
    <w:rsid w:val="6E6D47E6"/>
    <w:rsid w:val="6F776784"/>
    <w:rsid w:val="74B121F8"/>
    <w:rsid w:val="75AE1A90"/>
    <w:rsid w:val="766C1190"/>
    <w:rsid w:val="76B61368"/>
    <w:rsid w:val="76C415FC"/>
    <w:rsid w:val="779F77D7"/>
    <w:rsid w:val="79330A4E"/>
    <w:rsid w:val="7B0528FD"/>
    <w:rsid w:val="7B3179EF"/>
    <w:rsid w:val="7E192908"/>
    <w:rsid w:val="7E9267D7"/>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iPriority="99" w:name="HTML Preformatted"/>
    <w:lsdException w:uiPriority="99" w:name="HTML Sample"/>
    <w:lsdException w:uiPriority="99" w:name="HTML Typewriter"/>
    <w:lsdException w:uiPriority="99" w:name="HTML Variable"/>
    <w:lsdException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4"/>
      <w:szCs w:val="24"/>
      <w:lang w:val="en-US" w:eastAsia="zh-CN" w:bidi="ar-SA"/>
    </w:rPr>
  </w:style>
  <w:style w:type="character" w:default="1" w:styleId="11">
    <w:name w:val="Default Paragraph Font"/>
    <w:semiHidden/>
    <w:unhideWhenUsed/>
    <w:uiPriority w:val="1"/>
  </w:style>
  <w:style w:type="table" w:default="1" w:styleId="9">
    <w:name w:val="Normal Table"/>
    <w:semiHidden/>
    <w:unhideWhenUsed/>
    <w:uiPriority w:val="99"/>
    <w:tblPr>
      <w:tblCellMar>
        <w:top w:w="0" w:type="dxa"/>
        <w:left w:w="108" w:type="dxa"/>
        <w:bottom w:w="0" w:type="dxa"/>
        <w:right w:w="108" w:type="dxa"/>
      </w:tblCellMar>
    </w:tblPr>
  </w:style>
  <w:style w:type="paragraph" w:styleId="2">
    <w:name w:val="annotation text"/>
    <w:basedOn w:val="1"/>
    <w:link w:val="18"/>
    <w:semiHidden/>
    <w:unhideWhenUsed/>
    <w:qFormat/>
    <w:uiPriority w:val="99"/>
    <w:pPr>
      <w:jc w:val="left"/>
    </w:pPr>
  </w:style>
  <w:style w:type="paragraph" w:styleId="3">
    <w:name w:val="Balloon Text"/>
    <w:basedOn w:val="1"/>
    <w:link w:val="14"/>
    <w:semiHidden/>
    <w:unhideWhenUsed/>
    <w:qFormat/>
    <w:uiPriority w:val="99"/>
    <w:rPr>
      <w:sz w:val="18"/>
      <w:szCs w:val="18"/>
    </w:rPr>
  </w:style>
  <w:style w:type="paragraph" w:styleId="4">
    <w:name w:val="footer"/>
    <w:basedOn w:val="1"/>
    <w:link w:val="16"/>
    <w:unhideWhenUsed/>
    <w:qFormat/>
    <w:uiPriority w:val="99"/>
    <w:pPr>
      <w:tabs>
        <w:tab w:val="center" w:pos="4153"/>
        <w:tab w:val="right" w:pos="8306"/>
      </w:tabs>
      <w:snapToGrid w:val="0"/>
      <w:jc w:val="left"/>
    </w:pPr>
    <w:rPr>
      <w:sz w:val="18"/>
      <w:szCs w:val="18"/>
    </w:rPr>
  </w:style>
  <w:style w:type="paragraph" w:styleId="5">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HTML Preformatted"/>
    <w:basedOn w:val="1"/>
    <w:link w:val="13"/>
    <w:semiHidden/>
    <w:unhideWhenUsed/>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eastAsia="宋体" w:cs="宋体"/>
      <w:kern w:val="0"/>
    </w:rPr>
  </w:style>
  <w:style w:type="paragraph" w:styleId="7">
    <w:name w:val="Normal (Web)"/>
    <w:basedOn w:val="1"/>
    <w:semiHidden/>
    <w:unhideWhenUsed/>
    <w:qFormat/>
    <w:uiPriority w:val="99"/>
    <w:pPr>
      <w:widowControl/>
      <w:spacing w:before="100" w:beforeAutospacing="1" w:after="100" w:afterAutospacing="1"/>
      <w:jc w:val="left"/>
    </w:pPr>
    <w:rPr>
      <w:rFonts w:ascii="宋体" w:hAnsi="宋体" w:eastAsia="宋体" w:cs="宋体"/>
      <w:kern w:val="0"/>
    </w:rPr>
  </w:style>
  <w:style w:type="paragraph" w:styleId="8">
    <w:name w:val="annotation subject"/>
    <w:basedOn w:val="2"/>
    <w:next w:val="2"/>
    <w:link w:val="19"/>
    <w:semiHidden/>
    <w:unhideWhenUsed/>
    <w:qFormat/>
    <w:uiPriority w:val="99"/>
    <w:rPr>
      <w:b/>
      <w:bCs/>
    </w:rPr>
  </w:style>
  <w:style w:type="table" w:styleId="10">
    <w:name w:val="Table Grid"/>
    <w:basedOn w:val="9"/>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annotation reference"/>
    <w:basedOn w:val="11"/>
    <w:semiHidden/>
    <w:unhideWhenUsed/>
    <w:qFormat/>
    <w:uiPriority w:val="99"/>
    <w:rPr>
      <w:sz w:val="21"/>
      <w:szCs w:val="21"/>
    </w:rPr>
  </w:style>
  <w:style w:type="character" w:customStyle="1" w:styleId="13">
    <w:name w:val="HTML 预设格式 字符"/>
    <w:basedOn w:val="11"/>
    <w:link w:val="6"/>
    <w:semiHidden/>
    <w:qFormat/>
    <w:uiPriority w:val="99"/>
    <w:rPr>
      <w:rFonts w:ascii="宋体" w:hAnsi="宋体" w:eastAsia="宋体" w:cs="宋体"/>
      <w:kern w:val="0"/>
    </w:rPr>
  </w:style>
  <w:style w:type="character" w:customStyle="1" w:styleId="14">
    <w:name w:val="批注框文本 字符"/>
    <w:basedOn w:val="11"/>
    <w:link w:val="3"/>
    <w:semiHidden/>
    <w:qFormat/>
    <w:uiPriority w:val="99"/>
    <w:rPr>
      <w:sz w:val="18"/>
      <w:szCs w:val="18"/>
    </w:rPr>
  </w:style>
  <w:style w:type="character" w:customStyle="1" w:styleId="15">
    <w:name w:val="页眉 字符"/>
    <w:basedOn w:val="11"/>
    <w:link w:val="5"/>
    <w:qFormat/>
    <w:uiPriority w:val="99"/>
    <w:rPr>
      <w:sz w:val="18"/>
      <w:szCs w:val="18"/>
    </w:rPr>
  </w:style>
  <w:style w:type="character" w:customStyle="1" w:styleId="16">
    <w:name w:val="页脚 字符"/>
    <w:basedOn w:val="11"/>
    <w:link w:val="4"/>
    <w:qFormat/>
    <w:uiPriority w:val="99"/>
    <w:rPr>
      <w:sz w:val="18"/>
      <w:szCs w:val="18"/>
    </w:rPr>
  </w:style>
  <w:style w:type="paragraph" w:styleId="17">
    <w:name w:val="List Paragraph"/>
    <w:basedOn w:val="1"/>
    <w:qFormat/>
    <w:uiPriority w:val="34"/>
    <w:pPr>
      <w:ind w:firstLine="420" w:firstLineChars="200"/>
    </w:pPr>
  </w:style>
  <w:style w:type="character" w:customStyle="1" w:styleId="18">
    <w:name w:val="批注文字 字符"/>
    <w:basedOn w:val="11"/>
    <w:link w:val="2"/>
    <w:semiHidden/>
    <w:qFormat/>
    <w:uiPriority w:val="99"/>
  </w:style>
  <w:style w:type="character" w:customStyle="1" w:styleId="19">
    <w:name w:val="批注主题 字符"/>
    <w:basedOn w:val="18"/>
    <w:link w:val="8"/>
    <w:semiHidden/>
    <w:qFormat/>
    <w:uiPriority w:val="99"/>
    <w:rPr>
      <w:b/>
      <w:bCs/>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DengXian Light"/>
        <a:ea typeface="黑体"/>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DengXian"/>
        <a:ea typeface="宋体"/>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799BF19-1714-44FD-BB45-EF442DEAABAC}">
  <ds:schemaRefs/>
</ds:datastoreItem>
</file>

<file path=docProps/app.xml><?xml version="1.0" encoding="utf-8"?>
<Properties xmlns="http://schemas.openxmlformats.org/officeDocument/2006/extended-properties" xmlns:vt="http://schemas.openxmlformats.org/officeDocument/2006/docPropsVTypes">
  <Template>Normal.dotm</Template>
  <Pages>9</Pages>
  <Words>3662</Words>
  <Characters>3913</Characters>
  <Lines>29</Lines>
  <Paragraphs>8</Paragraphs>
  <TotalTime>56</TotalTime>
  <ScaleCrop>false</ScaleCrop>
  <LinksUpToDate>false</LinksUpToDate>
  <CharactersWithSpaces>3940</CharactersWithSpaces>
  <Application>WPS Office_11.1.0.12302_F1E327BC-269C-435d-A152-05C5408002CA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2019-03-27T02:24:00Z</dcterms:created>
  <dc:creator>office365</dc:creator>
  <cp:lastModifiedBy>MaggiePQ</cp:lastModifiedBy>
  <cp:lastPrinted>2022-07-28T03:23:00Z</cp:lastPrinted>
  <dcterms:modified xsi:type="dcterms:W3CDTF">2022-08-23T02:44:59Z</dcterms:modified>
  <cp:revision>96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2052-11.1.0.12302</vt:lpwstr>
  </property>
  <property fmtid="{D5CDD505-2E9C-101B-9397-08002B2CF9AE}" pid="3" name="ICV">
    <vt:lpwstr>936A054E282D4F6BA7518DE2AD5FBCCB</vt:lpwstr>
  </property>
</Properties>
</file>